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9439" w14:textId="49C34672" w:rsidR="00E17E85" w:rsidRPr="00C34388" w:rsidRDefault="00E17E85" w:rsidP="00EC792B">
      <w:pPr>
        <w:pStyle w:val="Style1"/>
        <w:keepNext w:val="0"/>
        <w:keepLines w:val="0"/>
        <w:spacing w:after="0" w:line="276" w:lineRule="auto"/>
        <w:ind w:left="0" w:right="134" w:firstLine="0"/>
        <w:rPr>
          <w:rFonts w:asciiTheme="majorHAnsi" w:hAnsiTheme="majorHAnsi" w:cstheme="majorHAnsi"/>
          <w:color w:val="000000" w:themeColor="text1"/>
          <w:sz w:val="72"/>
          <w:szCs w:val="72"/>
        </w:rPr>
      </w:pPr>
      <w:bookmarkStart w:id="0" w:name="_Toc117491459"/>
      <w:bookmarkStart w:id="1" w:name="_Toc118722816"/>
      <w:r w:rsidRPr="00C34388">
        <w:rPr>
          <w:rFonts w:asciiTheme="majorHAnsi" w:hAnsiTheme="majorHAnsi" w:cstheme="majorHAnsi"/>
          <w:color w:val="000000" w:themeColor="text1"/>
          <w:sz w:val="72"/>
          <w:szCs w:val="72"/>
        </w:rPr>
        <w:t>Checkliste und Prozessablauf bei Datenschutzverletzungen</w:t>
      </w:r>
    </w:p>
    <w:p w14:paraId="12C86475" w14:textId="77777777" w:rsidR="00C04284" w:rsidRPr="00C34388" w:rsidRDefault="00C04284" w:rsidP="00EC792B">
      <w:pPr>
        <w:pStyle w:val="Style1"/>
        <w:keepNext w:val="0"/>
        <w:keepLines w:val="0"/>
        <w:spacing w:after="0" w:line="276" w:lineRule="auto"/>
        <w:ind w:left="0" w:right="134" w:firstLine="0"/>
        <w:rPr>
          <w:rFonts w:asciiTheme="majorHAnsi" w:hAnsiTheme="majorHAnsi" w:cstheme="majorHAnsi"/>
          <w:color w:val="000000" w:themeColor="text1"/>
          <w:sz w:val="22"/>
          <w:szCs w:val="22"/>
        </w:rPr>
      </w:pPr>
    </w:p>
    <w:p w14:paraId="671317AF" w14:textId="4020B4D4" w:rsidR="00E17E85" w:rsidRPr="00C34388" w:rsidRDefault="00E17E85" w:rsidP="00EC792B">
      <w:pPr>
        <w:pStyle w:val="Style1"/>
        <w:keepNext w:val="0"/>
        <w:keepLines w:val="0"/>
        <w:spacing w:after="0" w:line="276" w:lineRule="auto"/>
        <w:ind w:left="0" w:right="134" w:firstLine="0"/>
        <w:rPr>
          <w:rFonts w:asciiTheme="majorHAnsi" w:hAnsiTheme="majorHAnsi" w:cstheme="majorHAnsi"/>
          <w:color w:val="000000" w:themeColor="text1"/>
          <w:sz w:val="22"/>
          <w:szCs w:val="22"/>
        </w:rPr>
      </w:pPr>
      <w:r w:rsidRPr="00C34388">
        <w:rPr>
          <w:rFonts w:asciiTheme="majorHAnsi" w:hAnsiTheme="majorHAnsi" w:cstheme="majorHAnsi"/>
          <w:color w:val="000000" w:themeColor="text1"/>
          <w:sz w:val="22"/>
          <w:szCs w:val="22"/>
        </w:rPr>
        <w:t xml:space="preserve">Stand </w:t>
      </w:r>
      <w:r w:rsidR="00FB644F">
        <w:rPr>
          <w:rFonts w:asciiTheme="majorHAnsi" w:hAnsiTheme="majorHAnsi" w:cstheme="majorHAnsi"/>
          <w:color w:val="000000" w:themeColor="text1"/>
          <w:sz w:val="22"/>
          <w:szCs w:val="22"/>
        </w:rPr>
        <w:t>30</w:t>
      </w:r>
      <w:r w:rsidR="00920020" w:rsidRPr="00C34388">
        <w:rPr>
          <w:rFonts w:asciiTheme="majorHAnsi" w:hAnsiTheme="majorHAnsi" w:cstheme="majorHAnsi"/>
          <w:color w:val="000000" w:themeColor="text1"/>
          <w:sz w:val="22"/>
          <w:szCs w:val="22"/>
        </w:rPr>
        <w:t>.05.</w:t>
      </w:r>
      <w:r w:rsidRPr="00C34388">
        <w:rPr>
          <w:rFonts w:asciiTheme="majorHAnsi" w:hAnsiTheme="majorHAnsi" w:cstheme="majorHAnsi"/>
          <w:color w:val="000000" w:themeColor="text1"/>
          <w:sz w:val="22"/>
          <w:szCs w:val="22"/>
        </w:rPr>
        <w:t xml:space="preserve">2023 </w:t>
      </w:r>
    </w:p>
    <w:p w14:paraId="628091A1" w14:textId="77777777" w:rsidR="00E17E85" w:rsidRPr="00C34388" w:rsidRDefault="00E17E85" w:rsidP="00EC792B">
      <w:pPr>
        <w:pStyle w:val="paragraph"/>
        <w:spacing w:before="0" w:beforeAutospacing="0" w:after="0" w:afterAutospacing="0" w:line="276" w:lineRule="auto"/>
        <w:ind w:right="134"/>
        <w:rPr>
          <w:rFonts w:asciiTheme="majorHAnsi" w:eastAsia="Calibri" w:hAnsiTheme="majorHAnsi" w:cstheme="majorHAnsi"/>
          <w:b/>
          <w:bCs/>
          <w:color w:val="000000" w:themeColor="text1"/>
          <w:sz w:val="18"/>
          <w:szCs w:val="18"/>
        </w:rPr>
      </w:pPr>
    </w:p>
    <w:p w14:paraId="795FAD65" w14:textId="77777777" w:rsidR="00E17E85" w:rsidRPr="00C34388" w:rsidRDefault="00E17E85" w:rsidP="00EC792B">
      <w:pPr>
        <w:pStyle w:val="paragraph"/>
        <w:spacing w:before="0" w:beforeAutospacing="0" w:after="0" w:afterAutospacing="0" w:line="276" w:lineRule="auto"/>
        <w:ind w:right="134"/>
        <w:rPr>
          <w:rFonts w:asciiTheme="majorHAnsi" w:eastAsia="Calibri" w:hAnsiTheme="majorHAnsi" w:cstheme="majorHAnsi"/>
          <w:color w:val="000000" w:themeColor="text1"/>
          <w:sz w:val="18"/>
          <w:szCs w:val="18"/>
        </w:rPr>
      </w:pPr>
    </w:p>
    <w:p w14:paraId="668BE8B6" w14:textId="77777777" w:rsidR="00E17E85" w:rsidRPr="00C34388" w:rsidRDefault="00E17E85" w:rsidP="00EC792B">
      <w:pPr>
        <w:pStyle w:val="paragraph"/>
        <w:spacing w:before="0" w:beforeAutospacing="0" w:after="0" w:afterAutospacing="0" w:line="276" w:lineRule="auto"/>
        <w:ind w:right="134"/>
        <w:rPr>
          <w:rFonts w:asciiTheme="majorHAnsi" w:eastAsia="Calibri" w:hAnsiTheme="majorHAnsi" w:cstheme="majorHAnsi"/>
          <w:color w:val="000000" w:themeColor="text1"/>
          <w:sz w:val="18"/>
          <w:szCs w:val="18"/>
        </w:rPr>
      </w:pPr>
      <w:r w:rsidRPr="00C34388">
        <w:rPr>
          <w:rFonts w:asciiTheme="majorHAnsi" w:eastAsia="Calibri" w:hAnsiTheme="majorHAnsi" w:cstheme="majorHAnsi"/>
          <w:color w:val="000000" w:themeColor="text1"/>
          <w:sz w:val="18"/>
          <w:szCs w:val="18"/>
        </w:rPr>
        <w:t>Hinweis für die Verwendung:</w:t>
      </w:r>
    </w:p>
    <w:p w14:paraId="55296089" w14:textId="77777777" w:rsidR="00E17E85" w:rsidRPr="00C34388" w:rsidRDefault="00E17E85" w:rsidP="00EC792B">
      <w:pPr>
        <w:pStyle w:val="paragraph"/>
        <w:numPr>
          <w:ilvl w:val="0"/>
          <w:numId w:val="10"/>
        </w:numPr>
        <w:spacing w:before="0" w:beforeAutospacing="0" w:after="0" w:afterAutospacing="0" w:line="276" w:lineRule="auto"/>
        <w:ind w:right="134"/>
        <w:rPr>
          <w:rFonts w:asciiTheme="majorHAnsi" w:eastAsia="Calibri" w:hAnsiTheme="majorHAnsi" w:cstheme="majorHAnsi"/>
          <w:color w:val="000000" w:themeColor="text1"/>
          <w:sz w:val="18"/>
          <w:szCs w:val="18"/>
        </w:rPr>
      </w:pPr>
      <w:r w:rsidRPr="00C34388">
        <w:rPr>
          <w:rFonts w:asciiTheme="majorHAnsi" w:eastAsia="Calibri" w:hAnsiTheme="majorHAnsi" w:cstheme="majorHAnsi"/>
          <w:color w:val="000000" w:themeColor="text1"/>
          <w:sz w:val="18"/>
          <w:szCs w:val="18"/>
        </w:rPr>
        <w:t xml:space="preserve">Diese Vorlage wird von der AEM ihren Mitgliedern, ihren Partnerorganisationen und christlichen Organisationen in der Schweiz zur freien Verfügung gestellt. </w:t>
      </w:r>
    </w:p>
    <w:p w14:paraId="2F69450E" w14:textId="77777777" w:rsidR="00E17E85" w:rsidRPr="00C34388" w:rsidRDefault="00E17E85" w:rsidP="00EC792B">
      <w:pPr>
        <w:pStyle w:val="paragraph"/>
        <w:numPr>
          <w:ilvl w:val="0"/>
          <w:numId w:val="10"/>
        </w:numPr>
        <w:spacing w:before="0" w:beforeAutospacing="0" w:after="0" w:afterAutospacing="0" w:line="276" w:lineRule="auto"/>
        <w:ind w:right="134"/>
        <w:rPr>
          <w:rFonts w:asciiTheme="majorHAnsi" w:eastAsia="Calibri" w:hAnsiTheme="majorHAnsi" w:cstheme="majorHAnsi"/>
          <w:strike/>
          <w:color w:val="000000" w:themeColor="text1"/>
          <w:sz w:val="18"/>
          <w:szCs w:val="18"/>
        </w:rPr>
      </w:pPr>
      <w:r w:rsidRPr="00C34388">
        <w:rPr>
          <w:rFonts w:asciiTheme="majorHAnsi" w:eastAsia="Calibri" w:hAnsiTheme="majorHAnsi" w:cstheme="majorHAnsi"/>
          <w:color w:val="000000" w:themeColor="text1"/>
          <w:sz w:val="18"/>
          <w:szCs w:val="18"/>
        </w:rPr>
        <w:t xml:space="preserve">Bei den </w:t>
      </w:r>
      <w:r w:rsidRPr="00C34388">
        <w:rPr>
          <w:rFonts w:asciiTheme="majorHAnsi" w:eastAsia="Calibri" w:hAnsiTheme="majorHAnsi" w:cstheme="majorHAnsi"/>
          <w:color w:val="000000" w:themeColor="text1"/>
          <w:sz w:val="18"/>
          <w:szCs w:val="18"/>
          <w:highlight w:val="yellow"/>
        </w:rPr>
        <w:t>gelb markierten Stellen</w:t>
      </w:r>
      <w:r w:rsidRPr="00C34388">
        <w:rPr>
          <w:rFonts w:asciiTheme="majorHAnsi" w:eastAsia="Calibri" w:hAnsiTheme="majorHAnsi" w:cstheme="majorHAnsi"/>
          <w:color w:val="000000" w:themeColor="text1"/>
          <w:sz w:val="18"/>
          <w:szCs w:val="18"/>
        </w:rPr>
        <w:t xml:space="preserve"> das «Zutreffende» stehen lassen und ergänzen. Alle anderen Textversionen streichen. Beispielsweise den Begriff </w:t>
      </w:r>
      <w:r w:rsidRPr="00C34388">
        <w:rPr>
          <w:rFonts w:asciiTheme="majorHAnsi" w:eastAsia="Calibri" w:hAnsiTheme="majorHAnsi" w:cstheme="majorHAnsi"/>
          <w:color w:val="000000" w:themeColor="text1"/>
          <w:sz w:val="18"/>
          <w:szCs w:val="18"/>
          <w:highlight w:val="yellow"/>
        </w:rPr>
        <w:t>Name Organisation YX</w:t>
      </w:r>
      <w:r w:rsidRPr="00C34388">
        <w:rPr>
          <w:rFonts w:asciiTheme="majorHAnsi" w:eastAsia="Calibri" w:hAnsiTheme="majorHAnsi" w:cstheme="majorHAnsi"/>
          <w:color w:val="000000" w:themeColor="text1"/>
          <w:sz w:val="18"/>
          <w:szCs w:val="18"/>
        </w:rPr>
        <w:t xml:space="preserve"> mit dem jeweiligen Organisationsnamen ersetzen.</w:t>
      </w:r>
    </w:p>
    <w:p w14:paraId="748B0964" w14:textId="77777777" w:rsidR="00E17E85" w:rsidRPr="00C34388" w:rsidRDefault="00E17E85" w:rsidP="00EC792B">
      <w:pPr>
        <w:pStyle w:val="paragraph"/>
        <w:spacing w:before="0" w:beforeAutospacing="0" w:after="0" w:afterAutospacing="0" w:line="276" w:lineRule="auto"/>
        <w:ind w:left="720" w:right="134"/>
        <w:rPr>
          <w:rFonts w:asciiTheme="majorHAnsi" w:eastAsia="Calibri" w:hAnsiTheme="majorHAnsi" w:cstheme="majorHAnsi"/>
          <w:strike/>
          <w:color w:val="000000" w:themeColor="text1"/>
          <w:sz w:val="18"/>
          <w:szCs w:val="18"/>
        </w:rPr>
      </w:pPr>
    </w:p>
    <w:p w14:paraId="14F44355" w14:textId="77777777" w:rsidR="00E17E85" w:rsidRPr="00C34388" w:rsidRDefault="00E17E85" w:rsidP="00EC792B">
      <w:pPr>
        <w:pStyle w:val="paragraph"/>
        <w:spacing w:before="0" w:beforeAutospacing="0" w:after="0" w:afterAutospacing="0" w:line="276" w:lineRule="auto"/>
        <w:ind w:right="134"/>
        <w:rPr>
          <w:rFonts w:asciiTheme="majorHAnsi" w:eastAsia="Calibri" w:hAnsiTheme="majorHAnsi" w:cstheme="majorHAnsi"/>
          <w:color w:val="000000" w:themeColor="text1"/>
          <w:sz w:val="18"/>
          <w:szCs w:val="18"/>
        </w:rPr>
      </w:pPr>
      <w:r w:rsidRPr="00C34388">
        <w:rPr>
          <w:rFonts w:asciiTheme="majorHAnsi" w:eastAsia="Calibri" w:hAnsiTheme="majorHAnsi" w:cstheme="majorHAnsi"/>
          <w:color w:val="000000" w:themeColor="text1"/>
          <w:sz w:val="18"/>
          <w:szCs w:val="18"/>
        </w:rPr>
        <w:t xml:space="preserve">Haftungsausschluss: </w:t>
      </w:r>
    </w:p>
    <w:p w14:paraId="79C7CD0C" w14:textId="77777777" w:rsidR="00E17E85" w:rsidRPr="00C34388" w:rsidRDefault="00E17E85" w:rsidP="00EC792B">
      <w:pPr>
        <w:pStyle w:val="paragraph"/>
        <w:spacing w:before="0" w:beforeAutospacing="0" w:after="0" w:afterAutospacing="0" w:line="276" w:lineRule="auto"/>
        <w:ind w:right="134"/>
        <w:rPr>
          <w:rFonts w:asciiTheme="majorHAnsi" w:eastAsia="Calibri" w:hAnsiTheme="majorHAnsi" w:cstheme="majorHAnsi"/>
          <w:color w:val="000000" w:themeColor="text1"/>
          <w:sz w:val="18"/>
          <w:szCs w:val="18"/>
        </w:rPr>
      </w:pPr>
      <w:r w:rsidRPr="00C34388">
        <w:rPr>
          <w:rFonts w:asciiTheme="majorHAnsi" w:eastAsia="Calibri" w:hAnsiTheme="majorHAnsi" w:cstheme="majorHAnsi"/>
          <w:color w:val="000000" w:themeColor="text1"/>
          <w:sz w:val="18"/>
          <w:szCs w:val="18"/>
        </w:rPr>
        <w:t>Die AEM übernimmt trotz sorgfältiger Kontrolle für die Inhalte und die Verwendung dieser Vorlage keine Haftung.</w:t>
      </w:r>
    </w:p>
    <w:p w14:paraId="011235E8" w14:textId="77777777" w:rsidR="00E17E85" w:rsidRPr="00C34388" w:rsidRDefault="00E17E85" w:rsidP="00EC792B">
      <w:pPr>
        <w:pStyle w:val="paragraph"/>
        <w:spacing w:before="0" w:beforeAutospacing="0" w:after="0" w:afterAutospacing="0" w:line="276" w:lineRule="auto"/>
        <w:ind w:right="134"/>
        <w:rPr>
          <w:rFonts w:asciiTheme="majorHAnsi" w:eastAsia="Calibri" w:hAnsiTheme="majorHAnsi" w:cstheme="majorHAnsi"/>
          <w:color w:val="000000" w:themeColor="text1"/>
          <w:sz w:val="18"/>
          <w:szCs w:val="18"/>
        </w:rPr>
      </w:pPr>
    </w:p>
    <w:p w14:paraId="32AAB22A" w14:textId="77777777" w:rsidR="00E17E85" w:rsidRPr="00C34388" w:rsidRDefault="00E17E85" w:rsidP="00EC792B">
      <w:pPr>
        <w:pStyle w:val="paragraph"/>
        <w:spacing w:before="0" w:beforeAutospacing="0" w:after="0" w:afterAutospacing="0" w:line="276" w:lineRule="auto"/>
        <w:ind w:right="134"/>
        <w:textAlignment w:val="baseline"/>
        <w:rPr>
          <w:rFonts w:asciiTheme="majorHAnsi" w:hAnsiTheme="majorHAnsi" w:cstheme="majorHAnsi"/>
          <w:color w:val="000000" w:themeColor="text1"/>
          <w:sz w:val="18"/>
          <w:szCs w:val="18"/>
        </w:rPr>
      </w:pPr>
    </w:p>
    <w:p w14:paraId="5981C787" w14:textId="77777777" w:rsidR="00E17E85" w:rsidRPr="00C34388" w:rsidRDefault="00E17E85" w:rsidP="00EC792B">
      <w:pPr>
        <w:pStyle w:val="paragraph"/>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Für weitere Informationen stehen Ihnen gerne zur Verfügung:  </w:t>
      </w:r>
    </w:p>
    <w:p w14:paraId="62D07C51" w14:textId="77777777" w:rsidR="00E17E85" w:rsidRPr="00C34388" w:rsidRDefault="00E17E85" w:rsidP="00EC792B">
      <w:pPr>
        <w:pStyle w:val="paragraph"/>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 xml:space="preserve">Lorena Marti, Assistentin Präsidium AEM, </w:t>
      </w:r>
      <w:hyperlink r:id="rId10" w:history="1">
        <w:r w:rsidRPr="00C34388">
          <w:rPr>
            <w:rStyle w:val="Hyperlink"/>
            <w:rFonts w:asciiTheme="majorHAnsi" w:hAnsiTheme="majorHAnsi" w:cstheme="majorHAnsi"/>
            <w:color w:val="000000" w:themeColor="text1"/>
            <w:sz w:val="18"/>
            <w:szCs w:val="18"/>
            <w:lang w:eastAsia="en-US" w:bidi="en-US"/>
          </w:rPr>
          <w:t>lorena.marti@aem</w:t>
        </w:r>
      </w:hyperlink>
      <w:r w:rsidRPr="00C34388">
        <w:rPr>
          <w:rFonts w:asciiTheme="majorHAnsi" w:hAnsiTheme="majorHAnsi" w:cstheme="majorHAnsi"/>
          <w:color w:val="000000" w:themeColor="text1"/>
          <w:sz w:val="18"/>
          <w:szCs w:val="18"/>
          <w:lang w:eastAsia="en-US" w:bidi="en-US"/>
        </w:rPr>
        <w:t>.ch, +41 43 344 72 07</w:t>
      </w:r>
    </w:p>
    <w:p w14:paraId="733E11BB" w14:textId="77777777" w:rsidR="00E17E85" w:rsidRPr="00C34388" w:rsidRDefault="00E17E85" w:rsidP="00EC792B">
      <w:pPr>
        <w:pStyle w:val="paragraph"/>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 xml:space="preserve">Beat Leuthold, Präsident AEM, </w:t>
      </w:r>
      <w:hyperlink r:id="rId11" w:history="1">
        <w:r w:rsidRPr="00C34388">
          <w:rPr>
            <w:rStyle w:val="Hyperlink"/>
            <w:rFonts w:asciiTheme="majorHAnsi" w:hAnsiTheme="majorHAnsi" w:cstheme="majorHAnsi"/>
            <w:color w:val="000000" w:themeColor="text1"/>
            <w:sz w:val="18"/>
            <w:szCs w:val="18"/>
            <w:lang w:eastAsia="en-US" w:bidi="en-US"/>
          </w:rPr>
          <w:t>beat.leuthold@aem</w:t>
        </w:r>
      </w:hyperlink>
      <w:r w:rsidRPr="00C34388">
        <w:rPr>
          <w:rFonts w:asciiTheme="majorHAnsi" w:hAnsiTheme="majorHAnsi" w:cstheme="majorHAnsi"/>
          <w:color w:val="000000" w:themeColor="text1"/>
          <w:sz w:val="18"/>
          <w:szCs w:val="18"/>
          <w:lang w:eastAsia="en-US" w:bidi="en-US"/>
        </w:rPr>
        <w:t xml:space="preserve">.ch, +41 79 198 83 76, </w:t>
      </w:r>
    </w:p>
    <w:p w14:paraId="2F3B18C3" w14:textId="77777777" w:rsidR="00E17E85" w:rsidRPr="00C34388" w:rsidRDefault="00E17E85" w:rsidP="00EC792B">
      <w:pPr>
        <w:pStyle w:val="paragraph"/>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p>
    <w:p w14:paraId="0931C4FD" w14:textId="77777777" w:rsidR="00E17E85" w:rsidRPr="00C34388" w:rsidRDefault="00E17E85" w:rsidP="00EC792B">
      <w:pPr>
        <w:pStyle w:val="paragraph"/>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 </w:t>
      </w:r>
    </w:p>
    <w:p w14:paraId="555ED0B6" w14:textId="77777777" w:rsidR="00E17E85" w:rsidRPr="00C34388" w:rsidRDefault="00E17E85" w:rsidP="00EC792B">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Die AEM</w:t>
      </w:r>
    </w:p>
    <w:p w14:paraId="3179B5CD" w14:textId="77777777" w:rsidR="00E17E85" w:rsidRPr="00C34388" w:rsidRDefault="00E17E85" w:rsidP="00EC792B">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Als Dachverband von heute 33 Missionswerken und 5 theologischen Ausbildungsstätten fördert die AEM das Anliegen, das Evangelium in Wort und Tat über alle Kulturschranken hinweg zu verbreiten, lokal und global. Sie ist ein Netzwerk und Kompetenzzentrum für ganzheitliche Missionsarbeit und setzt sich ein für Mobilisation, Bildung, Lobbying, Personalbetreuung und Qualitätssicherung. </w:t>
      </w:r>
    </w:p>
    <w:p w14:paraId="25405197" w14:textId="77777777" w:rsidR="00E17E85" w:rsidRPr="00C34388" w:rsidRDefault="00E17E85" w:rsidP="00EC792B">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 </w:t>
      </w:r>
    </w:p>
    <w:p w14:paraId="2F86D8B6" w14:textId="77777777" w:rsidR="00E17E85" w:rsidRPr="00C34388" w:rsidRDefault="00E17E85" w:rsidP="00EC792B">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Der Verein AEM entstand 1972 zur Stärkung und Ermutigung der evangelischen Missions- und Hilfswerke. Die AEM ist eine Arbeitsgemeinschaft der Schweizerischen Evangelischen Allianz. </w:t>
      </w:r>
    </w:p>
    <w:p w14:paraId="63348333" w14:textId="77777777" w:rsidR="00E17E85" w:rsidRPr="00C34388" w:rsidRDefault="00E17E85" w:rsidP="00EC792B">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 </w:t>
      </w:r>
    </w:p>
    <w:p w14:paraId="709A277F" w14:textId="77777777" w:rsidR="00E17E85" w:rsidRPr="00C34388" w:rsidRDefault="00E17E85" w:rsidP="00EC792B">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ind w:right="134"/>
        <w:textAlignment w:val="baseline"/>
        <w:rPr>
          <w:rFonts w:asciiTheme="majorHAnsi" w:hAnsiTheme="majorHAnsi" w:cstheme="majorHAnsi"/>
          <w:color w:val="000000" w:themeColor="text1"/>
          <w:sz w:val="18"/>
          <w:szCs w:val="18"/>
          <w:lang w:eastAsia="en-US" w:bidi="en-US"/>
        </w:rPr>
      </w:pPr>
      <w:r w:rsidRPr="00C34388">
        <w:rPr>
          <w:rFonts w:asciiTheme="majorHAnsi" w:hAnsiTheme="majorHAnsi" w:cstheme="majorHAnsi"/>
          <w:color w:val="000000" w:themeColor="text1"/>
          <w:sz w:val="18"/>
          <w:szCs w:val="18"/>
          <w:lang w:eastAsia="en-US" w:bidi="en-US"/>
        </w:rPr>
        <w:t xml:space="preserve">Link: </w:t>
      </w:r>
      <w:hyperlink r:id="rId12" w:history="1">
        <w:r w:rsidRPr="00C34388">
          <w:rPr>
            <w:rStyle w:val="Hyperlink"/>
            <w:rFonts w:asciiTheme="majorHAnsi" w:hAnsiTheme="majorHAnsi" w:cstheme="majorHAnsi"/>
            <w:color w:val="000000" w:themeColor="text1"/>
            <w:sz w:val="18"/>
            <w:szCs w:val="18"/>
            <w:lang w:eastAsia="en-US" w:bidi="en-US"/>
          </w:rPr>
          <w:t>www.aem</w:t>
        </w:r>
      </w:hyperlink>
      <w:r w:rsidRPr="00C34388">
        <w:rPr>
          <w:rFonts w:asciiTheme="majorHAnsi" w:hAnsiTheme="majorHAnsi" w:cstheme="majorHAnsi"/>
          <w:color w:val="000000" w:themeColor="text1"/>
          <w:sz w:val="18"/>
          <w:szCs w:val="18"/>
          <w:lang w:eastAsia="en-US" w:bidi="en-US"/>
        </w:rPr>
        <w:t>.ch  </w:t>
      </w:r>
    </w:p>
    <w:p w14:paraId="64EA2986" w14:textId="77777777" w:rsidR="00E17E85" w:rsidRPr="00C34388" w:rsidRDefault="00E17E85" w:rsidP="00EC792B">
      <w:pPr>
        <w:spacing w:after="0" w:line="276" w:lineRule="auto"/>
        <w:ind w:right="134"/>
        <w:rPr>
          <w:rFonts w:asciiTheme="majorHAnsi" w:hAnsiTheme="majorHAnsi" w:cstheme="majorHAnsi"/>
          <w:color w:val="000000" w:themeColor="text1"/>
        </w:rPr>
      </w:pPr>
    </w:p>
    <w:p w14:paraId="0647D339" w14:textId="77777777" w:rsidR="00E17E85" w:rsidRPr="00C34388" w:rsidRDefault="00E17E85" w:rsidP="00EC792B">
      <w:pPr>
        <w:spacing w:after="0" w:line="276" w:lineRule="auto"/>
        <w:ind w:right="134"/>
        <w:rPr>
          <w:rFonts w:asciiTheme="majorHAnsi" w:hAnsiTheme="majorHAnsi" w:cstheme="majorHAnsi"/>
          <w:color w:val="000000" w:themeColor="text1"/>
        </w:rPr>
      </w:pPr>
      <w:r w:rsidRPr="00C34388">
        <w:rPr>
          <w:rFonts w:asciiTheme="majorHAnsi" w:hAnsiTheme="majorHAnsi" w:cstheme="majorHAnsi"/>
          <w:color w:val="000000" w:themeColor="text1"/>
        </w:rPr>
        <w:br w:type="page"/>
      </w:r>
    </w:p>
    <w:p w14:paraId="194842FD" w14:textId="77777777" w:rsidR="00966092" w:rsidRPr="00C34388" w:rsidRDefault="00966092" w:rsidP="00EC792B">
      <w:pPr>
        <w:pStyle w:val="Style1"/>
        <w:ind w:left="0" w:right="134" w:firstLine="0"/>
        <w:rPr>
          <w:rFonts w:asciiTheme="majorHAnsi" w:hAnsiTheme="majorHAnsi" w:cstheme="majorHAnsi"/>
          <w:color w:val="000000" w:themeColor="text1"/>
          <w:sz w:val="22"/>
          <w:szCs w:val="22"/>
        </w:rPr>
      </w:pPr>
      <w:r w:rsidRPr="00C34388">
        <w:rPr>
          <w:rFonts w:asciiTheme="majorHAnsi" w:hAnsiTheme="majorHAnsi" w:cstheme="majorHAnsi"/>
          <w:color w:val="000000" w:themeColor="text1"/>
          <w:sz w:val="22"/>
          <w:szCs w:val="22"/>
        </w:rPr>
        <w:lastRenderedPageBreak/>
        <w:t>Definition Verletzung der Datensicherheit</w:t>
      </w:r>
    </w:p>
    <w:p w14:paraId="043EB0CA"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 xml:space="preserve">Analog den Zielen der Informationssicherheit besteht das Ziel der Datensicherheit darin, anhand geeigneter Massnahmen die Personendaten vor Verlust der Vertraulichkeit, der Integrität oder der Verfügbarkeit zu schützen. Nach dem Datenschutzgesetz liegt eine Verletzung der Datensicherheit vor, </w:t>
      </w:r>
    </w:p>
    <w:p w14:paraId="7410F6CB" w14:textId="77777777" w:rsidR="00966092" w:rsidRPr="00C34388" w:rsidRDefault="00966092" w:rsidP="00EC792B">
      <w:pPr>
        <w:pStyle w:val="Style1"/>
        <w:numPr>
          <w:ilvl w:val="0"/>
          <w:numId w:val="3"/>
        </w:numPr>
        <w:spacing w:after="0" w:line="288" w:lineRule="auto"/>
        <w:ind w:right="134" w:hanging="357"/>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wenn Personendaten unbeabsichtigt oder widerrechtlich verloren gehen, gelöscht, vernichtet oder verändert werden oder Unbefugten offengelegt oder zugänglich gemacht werden, z. B. bei Verlust eines Datenträgers wie Laptop, CD, USB-Stick etc. oder bei Zerstörung von Daten durch ein Naturereignis wie Überschwemmung, Feuer etc. oder durch einen Phishing-Angriff.</w:t>
      </w:r>
    </w:p>
    <w:p w14:paraId="49D8B98A" w14:textId="77777777" w:rsidR="00966092" w:rsidRPr="00C34388" w:rsidRDefault="00966092" w:rsidP="00EC792B">
      <w:pPr>
        <w:pStyle w:val="Style1"/>
        <w:numPr>
          <w:ilvl w:val="0"/>
          <w:numId w:val="3"/>
        </w:numPr>
        <w:spacing w:after="0" w:line="288" w:lineRule="auto"/>
        <w:ind w:right="134" w:hanging="357"/>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Indizien für eine mögliche Datensicherheitsverletzung sind zum Beispiel:</w:t>
      </w:r>
    </w:p>
    <w:p w14:paraId="1A52BD46" w14:textId="436BDFEB" w:rsidR="00966092" w:rsidRPr="00C34388" w:rsidRDefault="00966092" w:rsidP="00EC792B">
      <w:pPr>
        <w:pStyle w:val="Style1"/>
        <w:numPr>
          <w:ilvl w:val="1"/>
          <w:numId w:val="2"/>
        </w:numPr>
        <w:spacing w:after="0" w:line="288" w:lineRule="auto"/>
        <w:ind w:right="134" w:hanging="357"/>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Einbruch</w:t>
      </w:r>
      <w:r w:rsidR="00B244D7" w:rsidRPr="00C34388">
        <w:rPr>
          <w:rFonts w:asciiTheme="majorHAnsi" w:hAnsiTheme="majorHAnsi" w:cstheme="majorHAnsi"/>
          <w:b w:val="0"/>
          <w:bCs w:val="0"/>
          <w:color w:val="000000" w:themeColor="text1"/>
          <w:sz w:val="18"/>
          <w:szCs w:val="18"/>
        </w:rPr>
        <w:t xml:space="preserve"> / Diebstahl</w:t>
      </w:r>
    </w:p>
    <w:p w14:paraId="6BE4A3C6" w14:textId="76535A26" w:rsidR="00B244D7" w:rsidRPr="00C34388" w:rsidRDefault="00B244D7" w:rsidP="00EC792B">
      <w:pPr>
        <w:pStyle w:val="Style1"/>
        <w:numPr>
          <w:ilvl w:val="1"/>
          <w:numId w:val="2"/>
        </w:numPr>
        <w:spacing w:after="0" w:line="288" w:lineRule="auto"/>
        <w:ind w:right="134" w:hanging="357"/>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Verlust von Computer oder Datenträger mit Daten</w:t>
      </w:r>
    </w:p>
    <w:p w14:paraId="7333ED9C" w14:textId="77777777" w:rsidR="00966092" w:rsidRPr="00C34388" w:rsidRDefault="00966092" w:rsidP="00EC792B">
      <w:pPr>
        <w:pStyle w:val="Style1"/>
        <w:numPr>
          <w:ilvl w:val="1"/>
          <w:numId w:val="2"/>
        </w:numPr>
        <w:spacing w:after="0" w:line="288" w:lineRule="auto"/>
        <w:ind w:right="134" w:hanging="357"/>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Brand</w:t>
      </w:r>
    </w:p>
    <w:p w14:paraId="2A2F68F1" w14:textId="77777777" w:rsidR="00966092" w:rsidRPr="00C34388" w:rsidRDefault="00966092" w:rsidP="00EC792B">
      <w:pPr>
        <w:pStyle w:val="Style1"/>
        <w:ind w:left="0" w:right="134" w:firstLine="0"/>
        <w:rPr>
          <w:rFonts w:asciiTheme="majorHAnsi" w:hAnsiTheme="majorHAnsi" w:cstheme="majorHAnsi"/>
          <w:color w:val="000000" w:themeColor="text1"/>
          <w:sz w:val="22"/>
          <w:szCs w:val="22"/>
        </w:rPr>
      </w:pPr>
      <w:r w:rsidRPr="00C34388">
        <w:rPr>
          <w:rFonts w:asciiTheme="majorHAnsi" w:hAnsiTheme="majorHAnsi" w:cstheme="majorHAnsi"/>
          <w:color w:val="000000" w:themeColor="text1"/>
          <w:sz w:val="22"/>
          <w:szCs w:val="22"/>
        </w:rPr>
        <w:t>Meldepflicht</w:t>
      </w:r>
    </w:p>
    <w:p w14:paraId="3A94BC4D" w14:textId="65CA8E64" w:rsidR="00AA3146" w:rsidRPr="00C34388" w:rsidRDefault="00EC792B" w:rsidP="00B93937">
      <w:pPr>
        <w:pStyle w:val="Style1"/>
        <w:ind w:left="0" w:right="134" w:firstLine="0"/>
        <w:rPr>
          <w:rFonts w:asciiTheme="majorHAnsi" w:hAnsiTheme="majorHAnsi" w:cstheme="majorHAnsi"/>
          <w:b w:val="0"/>
          <w:bCs w:val="0"/>
          <w:i/>
          <w:iCs/>
          <w:color w:val="000000" w:themeColor="text1"/>
          <w:sz w:val="18"/>
          <w:szCs w:val="18"/>
        </w:rPr>
      </w:pPr>
      <w:r w:rsidRPr="00C34388">
        <w:rPr>
          <w:rFonts w:asciiTheme="majorHAnsi" w:hAnsiTheme="majorHAnsi" w:cstheme="majorHAnsi"/>
          <w:b w:val="0"/>
          <w:bCs w:val="0"/>
          <w:color w:val="000000" w:themeColor="text1"/>
          <w:sz w:val="18"/>
          <w:szCs w:val="18"/>
        </w:rPr>
        <w:t xml:space="preserve">Bei einer Verletzung der Datensicherheit können für betroffene Personen Risiken </w:t>
      </w:r>
      <w:r w:rsidR="00AA3146" w:rsidRPr="00C34388">
        <w:rPr>
          <w:rFonts w:asciiTheme="majorHAnsi" w:hAnsiTheme="majorHAnsi" w:cstheme="majorHAnsi"/>
          <w:b w:val="0"/>
          <w:bCs w:val="0"/>
          <w:color w:val="000000" w:themeColor="text1"/>
          <w:sz w:val="18"/>
          <w:szCs w:val="18"/>
        </w:rPr>
        <w:t xml:space="preserve">entstehen. Hierbei wird zwischen Risiken und hohen Risiken unterschieden. Ein Risiko liegt gemäss Gesetz dann vor, wenn durch die Verletzung der Datensicherheit Grundrechte resp. die Persönlichkeit einzelner betroffener Personen voraussichtlich gefährdet werden. Zur Identifikation eines hohen Risikos kann folgende Fragestellung dienen: </w:t>
      </w:r>
      <w:r w:rsidR="00AA3146" w:rsidRPr="00C34388">
        <w:rPr>
          <w:rFonts w:asciiTheme="majorHAnsi" w:hAnsiTheme="majorHAnsi" w:cstheme="majorHAnsi"/>
          <w:b w:val="0"/>
          <w:bCs w:val="0"/>
          <w:i/>
          <w:iCs/>
          <w:color w:val="000000" w:themeColor="text1"/>
          <w:sz w:val="18"/>
          <w:szCs w:val="18"/>
        </w:rPr>
        <w:t xml:space="preserve">Wie wahrscheinlich ist es, dass die Verletzung eine bestimmte negative Folge für die betroffene Person mit sich bringt (wenig, mittel, schwer) und wie wäre diese negative Folge zu qualifizieren (leicht, mittelmässig, schwer)? </w:t>
      </w:r>
    </w:p>
    <w:p w14:paraId="77D9B559" w14:textId="6F99FB18" w:rsidR="00966092" w:rsidRPr="00C34388" w:rsidRDefault="00AA3146" w:rsidP="00EC792B">
      <w:pPr>
        <w:pStyle w:val="Style1"/>
        <w:ind w:left="0" w:right="134" w:firstLine="0"/>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 xml:space="preserve">Ist eine schwere negative Folge mindestens wahrscheinlich oder eine mittelmässige negative Folge sehr wahrscheinlich, ist das Risiko hoch. </w:t>
      </w:r>
      <w:r w:rsidR="00966092" w:rsidRPr="00C34388">
        <w:rPr>
          <w:rFonts w:asciiTheme="majorHAnsi" w:hAnsiTheme="majorHAnsi" w:cstheme="majorHAnsi"/>
          <w:b w:val="0"/>
          <w:bCs w:val="0"/>
          <w:color w:val="000000" w:themeColor="text1"/>
          <w:sz w:val="18"/>
          <w:szCs w:val="18"/>
        </w:rPr>
        <w:t>Falls die Verletzung der Datensicherheit ein hohes Risiko für die betroffenen Personen birgt, ist sie dem Eidgenössischen Daten- und Öffentlichkeitsbeauftragten (EDÖB)</w:t>
      </w:r>
      <w:r w:rsidR="00966092" w:rsidRPr="00C34388">
        <w:rPr>
          <w:rStyle w:val="Funotenzeichen"/>
          <w:rFonts w:asciiTheme="majorHAnsi" w:hAnsiTheme="majorHAnsi" w:cstheme="majorHAnsi"/>
          <w:b w:val="0"/>
          <w:bCs w:val="0"/>
          <w:color w:val="000000" w:themeColor="text1"/>
          <w:sz w:val="18"/>
          <w:szCs w:val="18"/>
        </w:rPr>
        <w:footnoteReference w:id="1"/>
      </w:r>
      <w:r w:rsidR="00966092" w:rsidRPr="00C34388">
        <w:rPr>
          <w:rFonts w:asciiTheme="majorHAnsi" w:hAnsiTheme="majorHAnsi" w:cstheme="majorHAnsi"/>
          <w:b w:val="0"/>
          <w:bCs w:val="0"/>
          <w:color w:val="000000" w:themeColor="text1"/>
          <w:sz w:val="18"/>
          <w:szCs w:val="18"/>
        </w:rPr>
        <w:t xml:space="preserve"> zu melden. </w:t>
      </w:r>
    </w:p>
    <w:p w14:paraId="760F0254" w14:textId="77777777" w:rsidR="00966092" w:rsidRPr="00C34388" w:rsidRDefault="00966092" w:rsidP="00EC792B">
      <w:pPr>
        <w:pStyle w:val="Style1"/>
        <w:ind w:left="0" w:right="134" w:firstLine="0"/>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Mögliche Beispiele für ein hohes Risiko könnten folgende sein:</w:t>
      </w:r>
    </w:p>
    <w:p w14:paraId="38D9390B" w14:textId="6C208F0C" w:rsidR="00966092" w:rsidRPr="00C34388" w:rsidRDefault="00966092" w:rsidP="00EC792B">
      <w:pPr>
        <w:pStyle w:val="Style1"/>
        <w:numPr>
          <w:ilvl w:val="0"/>
          <w:numId w:val="4"/>
        </w:numPr>
        <w:spacing w:after="0" w:line="288" w:lineRule="auto"/>
        <w:ind w:left="714" w:right="134" w:hanging="357"/>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Die Server</w:t>
      </w:r>
      <w:r w:rsidR="00415D35" w:rsidRPr="00C34388">
        <w:rPr>
          <w:rFonts w:asciiTheme="majorHAnsi" w:hAnsiTheme="majorHAnsi" w:cstheme="majorHAnsi"/>
          <w:b w:val="0"/>
          <w:bCs w:val="0"/>
          <w:color w:val="000000" w:themeColor="text1"/>
          <w:sz w:val="18"/>
          <w:szCs w:val="18"/>
        </w:rPr>
        <w:t xml:space="preserve"> des </w:t>
      </w:r>
      <w:r w:rsidRPr="00C34388">
        <w:rPr>
          <w:rFonts w:asciiTheme="majorHAnsi" w:hAnsiTheme="majorHAnsi" w:cstheme="majorHAnsi"/>
          <w:b w:val="0"/>
          <w:bCs w:val="0"/>
          <w:color w:val="000000" w:themeColor="text1"/>
          <w:sz w:val="18"/>
          <w:szCs w:val="18"/>
        </w:rPr>
        <w:t>Missionswerk</w:t>
      </w:r>
      <w:r w:rsidR="00415D35" w:rsidRPr="00C34388">
        <w:rPr>
          <w:rFonts w:asciiTheme="majorHAnsi" w:hAnsiTheme="majorHAnsi" w:cstheme="majorHAnsi"/>
          <w:b w:val="0"/>
          <w:bCs w:val="0"/>
          <w:color w:val="000000" w:themeColor="text1"/>
          <w:sz w:val="18"/>
          <w:szCs w:val="18"/>
        </w:rPr>
        <w:t>s</w:t>
      </w:r>
      <w:r w:rsidRPr="00C34388">
        <w:rPr>
          <w:rFonts w:asciiTheme="majorHAnsi" w:hAnsiTheme="majorHAnsi" w:cstheme="majorHAnsi"/>
          <w:b w:val="0"/>
          <w:bCs w:val="0"/>
          <w:color w:val="000000" w:themeColor="text1"/>
          <w:sz w:val="18"/>
          <w:szCs w:val="18"/>
        </w:rPr>
        <w:t xml:space="preserve"> werden angegriffen</w:t>
      </w:r>
      <w:r w:rsidR="00415D35" w:rsidRPr="00C34388">
        <w:rPr>
          <w:rFonts w:asciiTheme="majorHAnsi" w:hAnsiTheme="majorHAnsi" w:cstheme="majorHAnsi"/>
          <w:b w:val="0"/>
          <w:bCs w:val="0"/>
          <w:color w:val="000000" w:themeColor="text1"/>
          <w:sz w:val="18"/>
          <w:szCs w:val="18"/>
        </w:rPr>
        <w:t xml:space="preserve">, </w:t>
      </w:r>
      <w:r w:rsidRPr="00C34388">
        <w:rPr>
          <w:rFonts w:asciiTheme="majorHAnsi" w:hAnsiTheme="majorHAnsi" w:cstheme="majorHAnsi"/>
          <w:b w:val="0"/>
          <w:bCs w:val="0"/>
          <w:color w:val="000000" w:themeColor="text1"/>
          <w:sz w:val="18"/>
          <w:szCs w:val="18"/>
        </w:rPr>
        <w:t>und es wird angenommen, dass die Angreifer Zugang zu sämtlichen vertraulichen Daten der Mitarbeitenden</w:t>
      </w:r>
      <w:r w:rsidR="00415D35" w:rsidRPr="00C34388">
        <w:rPr>
          <w:rFonts w:asciiTheme="majorHAnsi" w:hAnsiTheme="majorHAnsi" w:cstheme="majorHAnsi"/>
          <w:b w:val="0"/>
          <w:bCs w:val="0"/>
          <w:color w:val="000000" w:themeColor="text1"/>
          <w:sz w:val="18"/>
          <w:szCs w:val="18"/>
        </w:rPr>
        <w:t xml:space="preserve"> bekamen. </w:t>
      </w:r>
    </w:p>
    <w:p w14:paraId="006E1D76" w14:textId="77777777" w:rsidR="00966092" w:rsidRPr="00C34388" w:rsidRDefault="00966092" w:rsidP="00EC792B">
      <w:pPr>
        <w:pStyle w:val="Style1"/>
        <w:numPr>
          <w:ilvl w:val="0"/>
          <w:numId w:val="4"/>
        </w:numPr>
        <w:spacing w:after="0" w:line="288" w:lineRule="auto"/>
        <w:ind w:left="714" w:right="134" w:hanging="357"/>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Durch eine technische Störung werden alle besonders schützenswerten Daten der Mitarbeitenden gelöscht und das Back-up kann nicht wiederhergestellt werden.</w:t>
      </w:r>
    </w:p>
    <w:p w14:paraId="3D36F903" w14:textId="532808FA" w:rsidR="00966092" w:rsidRPr="00C34388" w:rsidRDefault="00966092" w:rsidP="00EC792B">
      <w:pPr>
        <w:pStyle w:val="Style1"/>
        <w:ind w:left="0" w:right="134" w:firstLine="0"/>
        <w:rPr>
          <w:rFonts w:asciiTheme="majorHAnsi" w:hAnsiTheme="majorHAnsi" w:cstheme="majorHAnsi"/>
          <w:color w:val="000000" w:themeColor="text1"/>
          <w:sz w:val="22"/>
          <w:szCs w:val="22"/>
        </w:rPr>
      </w:pPr>
      <w:r w:rsidRPr="00C34388">
        <w:rPr>
          <w:rFonts w:asciiTheme="majorHAnsi" w:hAnsiTheme="majorHAnsi" w:cstheme="majorHAnsi"/>
          <w:color w:val="000000" w:themeColor="text1"/>
          <w:sz w:val="22"/>
          <w:szCs w:val="22"/>
        </w:rPr>
        <w:t>Checkliste</w:t>
      </w:r>
    </w:p>
    <w:p w14:paraId="00FBC006" w14:textId="77777777" w:rsidR="00966092" w:rsidRPr="00C34388" w:rsidRDefault="00966092" w:rsidP="00EC792B">
      <w:pPr>
        <w:pStyle w:val="Style1"/>
        <w:ind w:left="0" w:right="134" w:firstLine="0"/>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rPr>
        <w:t>Die nachfolgende Checkliste soll eine Hilfestellung dafür bieten, welche Punkte präventiv definiert werden sollten. Im Falle einer (vermuteten) Verletzung der Datensicherheit sind dadurch wichtige Prozessschritte bereits geklärt und die relevanten Entscheidungen getroffen.</w:t>
      </w:r>
    </w:p>
    <w:tbl>
      <w:tblPr>
        <w:tblW w:w="9632" w:type="dxa"/>
        <w:tblBorders>
          <w:top w:val="single" w:sz="12" w:space="0" w:color="000000" w:themeColor="text1"/>
          <w:bottom w:val="single" w:sz="12" w:space="0" w:color="000000" w:themeColor="text1"/>
          <w:insideH w:val="single" w:sz="12" w:space="0" w:color="000000" w:themeColor="text1"/>
          <w:insideV w:val="single" w:sz="12" w:space="0" w:color="1F497D"/>
        </w:tblBorders>
        <w:tblCellMar>
          <w:left w:w="0" w:type="dxa"/>
          <w:right w:w="0" w:type="dxa"/>
        </w:tblCellMar>
        <w:tblLook w:val="04A0" w:firstRow="1" w:lastRow="0" w:firstColumn="1" w:lastColumn="0" w:noHBand="0" w:noVBand="1"/>
      </w:tblPr>
      <w:tblGrid>
        <w:gridCol w:w="9632"/>
      </w:tblGrid>
      <w:tr w:rsidR="00920020" w:rsidRPr="00C34388" w14:paraId="54398A98" w14:textId="77777777" w:rsidTr="00161594">
        <w:trPr>
          <w:trHeight w:val="300"/>
        </w:trPr>
        <w:tc>
          <w:tcPr>
            <w:tcW w:w="9632" w:type="dxa"/>
            <w:shd w:val="clear" w:color="auto" w:fill="auto"/>
          </w:tcPr>
          <w:p w14:paraId="55024C64" w14:textId="77777777" w:rsidR="00966092" w:rsidRPr="00C34388" w:rsidRDefault="00966092" w:rsidP="00161594">
            <w:pPr>
              <w:pStyle w:val="Style1"/>
              <w:ind w:left="0" w:right="136" w:firstLine="0"/>
              <w:rPr>
                <w:rFonts w:asciiTheme="majorHAnsi" w:hAnsiTheme="majorHAnsi" w:cstheme="majorHAnsi"/>
                <w:color w:val="000000" w:themeColor="text1"/>
                <w:sz w:val="22"/>
                <w:szCs w:val="22"/>
              </w:rPr>
            </w:pPr>
            <w:r w:rsidRPr="00C34388">
              <w:rPr>
                <w:rFonts w:asciiTheme="majorHAnsi" w:hAnsiTheme="majorHAnsi" w:cstheme="majorHAnsi"/>
                <w:color w:val="000000" w:themeColor="text1"/>
                <w:sz w:val="22"/>
                <w:szCs w:val="22"/>
              </w:rPr>
              <w:t>Definition verantwortliche Person (Datensicherheitsverantwortliche)</w:t>
            </w:r>
          </w:p>
        </w:tc>
      </w:tr>
      <w:tr w:rsidR="00920020" w:rsidRPr="00C34388" w14:paraId="54B09434" w14:textId="77777777" w:rsidTr="00161594">
        <w:trPr>
          <w:trHeight w:val="300"/>
        </w:trPr>
        <w:tc>
          <w:tcPr>
            <w:tcW w:w="9632" w:type="dxa"/>
            <w:shd w:val="clear" w:color="auto" w:fill="auto"/>
          </w:tcPr>
          <w:p w14:paraId="47241745" w14:textId="7421BCCF" w:rsidR="00415D35" w:rsidRPr="00C34388" w:rsidRDefault="00966092" w:rsidP="00161594">
            <w:pPr>
              <w:spacing w:after="0" w:line="288" w:lineRule="auto"/>
              <w:ind w:right="136"/>
              <w:contextualSpacing/>
              <w:jc w:val="left"/>
              <w:textAlignment w:val="baseline"/>
              <w:rPr>
                <w:rFonts w:asciiTheme="majorHAnsi" w:eastAsia="Arial Unicode MS" w:hAnsiTheme="majorHAnsi" w:cstheme="majorHAnsi"/>
                <w:color w:val="000000" w:themeColor="text1"/>
                <w:szCs w:val="18"/>
              </w:rPr>
            </w:pPr>
            <w:r w:rsidRPr="00C34388">
              <w:rPr>
                <w:rFonts w:asciiTheme="majorHAnsi" w:eastAsia="Arial Unicode MS" w:hAnsiTheme="majorHAnsi" w:cstheme="majorHAnsi"/>
                <w:color w:val="000000" w:themeColor="text1"/>
                <w:szCs w:val="18"/>
              </w:rPr>
              <w:t>Bei Verletzungen der Datensicherheit,</w:t>
            </w:r>
            <w:r w:rsidR="00EC792B" w:rsidRPr="00C34388">
              <w:rPr>
                <w:rFonts w:asciiTheme="majorHAnsi" w:eastAsia="Arial Unicode MS" w:hAnsiTheme="majorHAnsi" w:cstheme="majorHAnsi"/>
                <w:color w:val="000000" w:themeColor="text1"/>
                <w:szCs w:val="18"/>
              </w:rPr>
              <w:t xml:space="preserve"> i</w:t>
            </w:r>
            <w:r w:rsidRPr="00C34388">
              <w:rPr>
                <w:rFonts w:asciiTheme="majorHAnsi" w:eastAsia="Arial Unicode MS" w:hAnsiTheme="majorHAnsi" w:cstheme="majorHAnsi"/>
                <w:color w:val="000000" w:themeColor="text1"/>
                <w:szCs w:val="18"/>
              </w:rPr>
              <w:t xml:space="preserve">st der Datensicherheitsverantwortliche umgehend zu informieren und gemeinsam mit ihm sind die erforderlichen Massnahmen </w:t>
            </w:r>
          </w:p>
          <w:p w14:paraId="3E86CE99" w14:textId="7C4D9398" w:rsidR="00966092" w:rsidRPr="00C34388" w:rsidRDefault="00966092" w:rsidP="00161594">
            <w:pPr>
              <w:spacing w:after="0" w:line="288" w:lineRule="auto"/>
              <w:ind w:right="136"/>
              <w:contextualSpacing/>
              <w:jc w:val="left"/>
              <w:textAlignment w:val="baseline"/>
              <w:rPr>
                <w:rFonts w:asciiTheme="majorHAnsi" w:eastAsia="Arial Unicode MS" w:hAnsiTheme="majorHAnsi" w:cstheme="majorHAnsi"/>
                <w:color w:val="000000" w:themeColor="text1"/>
                <w:szCs w:val="18"/>
              </w:rPr>
            </w:pPr>
            <w:r w:rsidRPr="00C34388">
              <w:rPr>
                <w:rFonts w:asciiTheme="majorHAnsi" w:eastAsia="Arial Unicode MS" w:hAnsiTheme="majorHAnsi" w:cstheme="majorHAnsi"/>
                <w:color w:val="000000" w:themeColor="text1"/>
                <w:szCs w:val="18"/>
              </w:rPr>
              <w:t>umzusetzen.</w:t>
            </w:r>
          </w:p>
        </w:tc>
      </w:tr>
      <w:tr w:rsidR="00920020" w:rsidRPr="00C34388" w14:paraId="4C78021E" w14:textId="77777777" w:rsidTr="00161594">
        <w:trPr>
          <w:trHeight w:val="300"/>
        </w:trPr>
        <w:tc>
          <w:tcPr>
            <w:tcW w:w="9632" w:type="dxa"/>
            <w:shd w:val="clear" w:color="auto" w:fill="auto"/>
          </w:tcPr>
          <w:p w14:paraId="153279D1" w14:textId="77777777" w:rsidR="00966092" w:rsidRPr="00C34388" w:rsidRDefault="00966092" w:rsidP="00161594">
            <w:pPr>
              <w:pStyle w:val="Style1"/>
              <w:ind w:left="0" w:right="136" w:firstLine="0"/>
              <w:rPr>
                <w:rFonts w:asciiTheme="majorHAnsi" w:hAnsiTheme="majorHAnsi" w:cstheme="majorHAnsi"/>
                <w:color w:val="000000" w:themeColor="text1"/>
                <w:szCs w:val="18"/>
              </w:rPr>
            </w:pPr>
            <w:r w:rsidRPr="00C34388">
              <w:rPr>
                <w:rFonts w:asciiTheme="majorHAnsi" w:hAnsiTheme="majorHAnsi" w:cstheme="majorHAnsi"/>
                <w:color w:val="000000" w:themeColor="text1"/>
                <w:sz w:val="22"/>
                <w:szCs w:val="22"/>
              </w:rPr>
              <w:t>Dokumentation</w:t>
            </w:r>
          </w:p>
        </w:tc>
      </w:tr>
      <w:tr w:rsidR="00920020" w:rsidRPr="00C34388" w14:paraId="4FDA7C36" w14:textId="77777777" w:rsidTr="00161594">
        <w:trPr>
          <w:trHeight w:val="300"/>
        </w:trPr>
        <w:tc>
          <w:tcPr>
            <w:tcW w:w="9632" w:type="dxa"/>
            <w:shd w:val="clear" w:color="auto" w:fill="auto"/>
          </w:tcPr>
          <w:p w14:paraId="32F625C5" w14:textId="7F520752" w:rsidR="00966092" w:rsidRPr="00C34388" w:rsidRDefault="00966092" w:rsidP="00161594">
            <w:pPr>
              <w:spacing w:after="0" w:line="288" w:lineRule="auto"/>
              <w:ind w:right="136"/>
              <w:contextualSpacing/>
              <w:jc w:val="left"/>
              <w:textAlignment w:val="baseline"/>
              <w:rPr>
                <w:rFonts w:asciiTheme="majorHAnsi" w:eastAsia="Arial Unicode MS" w:hAnsiTheme="majorHAnsi" w:cstheme="majorHAnsi"/>
                <w:color w:val="000000" w:themeColor="text1"/>
                <w:szCs w:val="18"/>
              </w:rPr>
            </w:pPr>
            <w:r w:rsidRPr="00C34388">
              <w:rPr>
                <w:rFonts w:asciiTheme="majorHAnsi" w:eastAsia="Arial Unicode MS" w:hAnsiTheme="majorHAnsi" w:cstheme="majorHAnsi"/>
                <w:color w:val="000000" w:themeColor="text1"/>
                <w:szCs w:val="18"/>
              </w:rPr>
              <w:t>Das Datenschutzgesetz sieht vor, dass eine Verletzung der Datensicherheit</w:t>
            </w:r>
            <w:r w:rsidR="00415D35" w:rsidRPr="00C34388">
              <w:rPr>
                <w:rFonts w:asciiTheme="majorHAnsi" w:eastAsia="Arial Unicode MS" w:hAnsiTheme="majorHAnsi" w:cstheme="majorHAnsi"/>
                <w:color w:val="000000" w:themeColor="text1"/>
                <w:szCs w:val="18"/>
              </w:rPr>
              <w:t xml:space="preserve"> durch den </w:t>
            </w:r>
            <w:r w:rsidRPr="00C34388">
              <w:rPr>
                <w:rFonts w:asciiTheme="majorHAnsi" w:eastAsia="Arial Unicode MS" w:hAnsiTheme="majorHAnsi" w:cstheme="majorHAnsi"/>
                <w:color w:val="000000" w:themeColor="text1"/>
                <w:szCs w:val="18"/>
              </w:rPr>
              <w:t>Datensicherheitsverantwortlichen zu dokumentieren ist, sofern die Verletzung meldepflichtig ist.</w:t>
            </w:r>
            <w:r w:rsidRPr="00C34388">
              <w:rPr>
                <w:rFonts w:asciiTheme="majorHAnsi" w:eastAsia="Arial Unicode MS" w:hAnsiTheme="majorHAnsi" w:cstheme="majorHAnsi"/>
                <w:color w:val="000000" w:themeColor="text1"/>
                <w:szCs w:val="18"/>
              </w:rPr>
              <w:br/>
              <w:t>Die Dokumentation enthält mindestens:</w:t>
            </w:r>
          </w:p>
          <w:p w14:paraId="2813CD7C" w14:textId="77777777" w:rsidR="00966092" w:rsidRPr="00C34388" w:rsidRDefault="00966092" w:rsidP="00161594">
            <w:pPr>
              <w:pStyle w:val="Listenabsatz"/>
              <w:numPr>
                <w:ilvl w:val="0"/>
                <w:numId w:val="5"/>
              </w:numPr>
              <w:spacing w:after="0" w:line="288" w:lineRule="auto"/>
              <w:ind w:right="136"/>
              <w:textAlignment w:val="baseline"/>
              <w:rPr>
                <w:rFonts w:asciiTheme="majorHAnsi" w:hAnsiTheme="majorHAnsi" w:cstheme="majorHAnsi"/>
                <w:color w:val="000000" w:themeColor="text1"/>
                <w:szCs w:val="18"/>
              </w:rPr>
            </w:pPr>
            <w:r w:rsidRPr="00C34388">
              <w:rPr>
                <w:rFonts w:asciiTheme="majorHAnsi" w:hAnsiTheme="majorHAnsi" w:cstheme="majorHAnsi"/>
                <w:color w:val="000000" w:themeColor="text1"/>
                <w:szCs w:val="18"/>
              </w:rPr>
              <w:t>alle mit der Verletzung der Datensicherheit zusammenhängenden Tatsachen (vgl. Prozess Verletzung Datensicherheit Prozessschritt «PS-07, Meldung an EDÖB»),</w:t>
            </w:r>
          </w:p>
          <w:p w14:paraId="1ABEDC80" w14:textId="77777777" w:rsidR="00966092" w:rsidRPr="00C34388" w:rsidRDefault="00966092" w:rsidP="00161594">
            <w:pPr>
              <w:pStyle w:val="Listenabsatz"/>
              <w:numPr>
                <w:ilvl w:val="0"/>
                <w:numId w:val="5"/>
              </w:numPr>
              <w:spacing w:after="0" w:line="288" w:lineRule="auto"/>
              <w:ind w:right="136"/>
              <w:textAlignment w:val="baseline"/>
              <w:rPr>
                <w:rFonts w:asciiTheme="majorHAnsi" w:hAnsiTheme="majorHAnsi" w:cstheme="majorHAnsi"/>
                <w:color w:val="000000" w:themeColor="text1"/>
                <w:szCs w:val="18"/>
              </w:rPr>
            </w:pPr>
            <w:r w:rsidRPr="00C34388">
              <w:rPr>
                <w:rFonts w:asciiTheme="majorHAnsi" w:hAnsiTheme="majorHAnsi" w:cstheme="majorHAnsi"/>
                <w:color w:val="000000" w:themeColor="text1"/>
                <w:szCs w:val="18"/>
              </w:rPr>
              <w:t>Auswirkungen der Verletzung der Datensicherheit und</w:t>
            </w:r>
          </w:p>
          <w:p w14:paraId="2EE86D20" w14:textId="6678ADC1" w:rsidR="00EC792B" w:rsidRPr="00C34388" w:rsidRDefault="00966092" w:rsidP="00161594">
            <w:pPr>
              <w:pStyle w:val="Listenabsatz"/>
              <w:numPr>
                <w:ilvl w:val="0"/>
                <w:numId w:val="5"/>
              </w:numPr>
              <w:spacing w:after="0" w:line="288" w:lineRule="auto"/>
              <w:ind w:right="136"/>
              <w:textAlignment w:val="baseline"/>
              <w:rPr>
                <w:rFonts w:asciiTheme="majorHAnsi" w:hAnsiTheme="majorHAnsi" w:cstheme="majorHAnsi"/>
                <w:color w:val="000000" w:themeColor="text1"/>
                <w:szCs w:val="18"/>
              </w:rPr>
            </w:pPr>
            <w:r w:rsidRPr="00C34388">
              <w:rPr>
                <w:rFonts w:asciiTheme="majorHAnsi" w:hAnsiTheme="majorHAnsi" w:cstheme="majorHAnsi"/>
                <w:color w:val="000000" w:themeColor="text1"/>
                <w:szCs w:val="18"/>
              </w:rPr>
              <w:t>die ergriffenen Massnahmen für die Eindämmung oder die Beseitigung der Verletzung der Datensicherheit.</w:t>
            </w:r>
          </w:p>
          <w:p w14:paraId="3E7955B9" w14:textId="42F793A8" w:rsidR="00966092" w:rsidRPr="00C34388" w:rsidRDefault="00966092" w:rsidP="00161594">
            <w:pPr>
              <w:spacing w:after="0" w:line="288" w:lineRule="auto"/>
              <w:ind w:right="136"/>
              <w:textAlignment w:val="baseline"/>
              <w:rPr>
                <w:rFonts w:asciiTheme="majorHAnsi" w:eastAsia="Arial Unicode MS" w:hAnsiTheme="majorHAnsi" w:cstheme="majorHAnsi"/>
                <w:color w:val="000000" w:themeColor="text1"/>
                <w:szCs w:val="18"/>
              </w:rPr>
            </w:pPr>
            <w:r w:rsidRPr="00C34388">
              <w:rPr>
                <w:rFonts w:asciiTheme="majorHAnsi" w:eastAsia="Arial Unicode MS" w:hAnsiTheme="majorHAnsi" w:cstheme="majorHAnsi"/>
                <w:color w:val="000000" w:themeColor="text1"/>
                <w:szCs w:val="18"/>
              </w:rPr>
              <w:t xml:space="preserve">Ab Zeitpunkt der Verletzung der Datensicherheit ist die Dokumentation gemäss der Datenschutzverordnung mindestens während </w:t>
            </w:r>
            <w:r w:rsidRPr="00C34388">
              <w:rPr>
                <w:rFonts w:asciiTheme="majorHAnsi" w:eastAsia="Arial Unicode MS" w:hAnsiTheme="majorHAnsi" w:cstheme="majorHAnsi"/>
                <w:b/>
                <w:bCs/>
                <w:color w:val="000000" w:themeColor="text1"/>
                <w:szCs w:val="18"/>
              </w:rPr>
              <w:t>zwei Jahren</w:t>
            </w:r>
            <w:r w:rsidRPr="00C34388">
              <w:rPr>
                <w:rFonts w:asciiTheme="majorHAnsi" w:eastAsia="Arial Unicode MS" w:hAnsiTheme="majorHAnsi" w:cstheme="majorHAnsi"/>
                <w:color w:val="000000" w:themeColor="text1"/>
                <w:szCs w:val="18"/>
              </w:rPr>
              <w:t xml:space="preserve"> aufzubewahren.</w:t>
            </w:r>
          </w:p>
        </w:tc>
      </w:tr>
    </w:tbl>
    <w:p w14:paraId="14F59C62" w14:textId="06FE3FBE" w:rsidR="00966092" w:rsidRDefault="00966092" w:rsidP="000B3AE4">
      <w:pPr>
        <w:pStyle w:val="Style1"/>
        <w:ind w:left="0" w:right="134" w:firstLine="0"/>
        <w:rPr>
          <w:rFonts w:asciiTheme="majorHAnsi" w:hAnsiTheme="majorHAnsi" w:cstheme="majorHAnsi"/>
          <w:color w:val="000000" w:themeColor="text1"/>
          <w:sz w:val="22"/>
          <w:szCs w:val="22"/>
        </w:rPr>
      </w:pPr>
      <w:r w:rsidRPr="00C34388">
        <w:rPr>
          <w:rFonts w:asciiTheme="majorHAnsi" w:hAnsiTheme="majorHAnsi" w:cstheme="majorHAnsi"/>
          <w:color w:val="000000" w:themeColor="text1"/>
          <w:sz w:val="22"/>
          <w:szCs w:val="22"/>
        </w:rPr>
        <w:lastRenderedPageBreak/>
        <w:t>Prozess Verletzung Datensicherheit</w:t>
      </w:r>
    </w:p>
    <w:p w14:paraId="0F9EB8B9" w14:textId="62E01F88" w:rsidR="0011006A" w:rsidRPr="00C34388" w:rsidRDefault="0011006A" w:rsidP="000B3AE4">
      <w:pPr>
        <w:pStyle w:val="Style1"/>
        <w:ind w:left="0" w:right="134" w:firstLine="0"/>
        <w:rPr>
          <w:rFonts w:asciiTheme="majorHAnsi" w:hAnsiTheme="majorHAnsi" w:cstheme="majorHAnsi"/>
          <w:color w:val="000000" w:themeColor="text1"/>
          <w:sz w:val="22"/>
          <w:szCs w:val="22"/>
        </w:rPr>
      </w:pPr>
      <w:r w:rsidRPr="0011006A">
        <w:rPr>
          <w:rFonts w:asciiTheme="majorHAnsi" w:hAnsiTheme="majorHAnsi" w:cstheme="majorHAnsi"/>
          <w:noProof/>
          <w:color w:val="000000" w:themeColor="text1"/>
          <w:sz w:val="22"/>
          <w:szCs w:val="22"/>
        </w:rPr>
        <w:drawing>
          <wp:anchor distT="0" distB="0" distL="114300" distR="114300" simplePos="0" relativeHeight="251658240" behindDoc="0" locked="0" layoutInCell="1" allowOverlap="1" wp14:anchorId="2D340527" wp14:editId="4B26977F">
            <wp:simplePos x="0" y="0"/>
            <wp:positionH relativeFrom="margin">
              <wp:align>center</wp:align>
            </wp:positionH>
            <wp:positionV relativeFrom="paragraph">
              <wp:posOffset>153670</wp:posOffset>
            </wp:positionV>
            <wp:extent cx="4754880" cy="8011795"/>
            <wp:effectExtent l="0" t="0" r="7620" b="8255"/>
            <wp:wrapThrough wrapText="bothSides">
              <wp:wrapPolygon edited="0">
                <wp:start x="0" y="0"/>
                <wp:lineTo x="0" y="21571"/>
                <wp:lineTo x="21548" y="21571"/>
                <wp:lineTo x="21548" y="0"/>
                <wp:lineTo x="0" y="0"/>
              </wp:wrapPolygon>
            </wp:wrapThrough>
            <wp:docPr id="1961327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27388" name=""/>
                    <pic:cNvPicPr/>
                  </pic:nvPicPr>
                  <pic:blipFill>
                    <a:blip r:embed="rId13">
                      <a:extLst>
                        <a:ext uri="{28A0092B-C50C-407E-A947-70E740481C1C}">
                          <a14:useLocalDpi xmlns:a14="http://schemas.microsoft.com/office/drawing/2010/main" val="0"/>
                        </a:ext>
                      </a:extLst>
                    </a:blip>
                    <a:stretch>
                      <a:fillRect/>
                    </a:stretch>
                  </pic:blipFill>
                  <pic:spPr>
                    <a:xfrm>
                      <a:off x="0" y="0"/>
                      <a:ext cx="4754880" cy="801179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0" w:type="auto"/>
        <w:tblBorders>
          <w:top w:val="single" w:sz="12" w:space="0" w:color="000000" w:themeColor="text1"/>
          <w:left w:val="none" w:sz="0" w:space="0" w:color="auto"/>
          <w:bottom w:val="single" w:sz="12" w:space="0" w:color="000000" w:themeColor="text1"/>
          <w:right w:val="none" w:sz="0" w:space="0" w:color="auto"/>
          <w:insideH w:val="single" w:sz="8" w:space="0" w:color="002060"/>
          <w:insideV w:val="none" w:sz="0" w:space="0" w:color="auto"/>
        </w:tblBorders>
        <w:tblLook w:val="04A0" w:firstRow="1" w:lastRow="0" w:firstColumn="1" w:lastColumn="0" w:noHBand="0" w:noVBand="1"/>
      </w:tblPr>
      <w:tblGrid>
        <w:gridCol w:w="1086"/>
        <w:gridCol w:w="2328"/>
        <w:gridCol w:w="6218"/>
      </w:tblGrid>
      <w:tr w:rsidR="00920020" w:rsidRPr="00C34388" w14:paraId="3883EE41" w14:textId="77777777" w:rsidTr="00FE05A7">
        <w:tc>
          <w:tcPr>
            <w:tcW w:w="1086" w:type="dxa"/>
          </w:tcPr>
          <w:p w14:paraId="2D7D05F0" w14:textId="77777777" w:rsidR="00966092" w:rsidRPr="00C34388" w:rsidRDefault="00966092" w:rsidP="00EC792B">
            <w:pPr>
              <w:pStyle w:val="Style1"/>
              <w:ind w:left="0" w:right="134" w:firstLine="0"/>
              <w:rPr>
                <w:rFonts w:asciiTheme="majorHAnsi" w:hAnsiTheme="majorHAnsi" w:cstheme="majorHAnsi"/>
                <w:color w:val="000000" w:themeColor="text1"/>
                <w:sz w:val="22"/>
                <w:szCs w:val="22"/>
                <w:lang w:val="de-CH"/>
              </w:rPr>
            </w:pPr>
            <w:r w:rsidRPr="00C34388">
              <w:rPr>
                <w:rFonts w:asciiTheme="majorHAnsi" w:hAnsiTheme="majorHAnsi" w:cstheme="majorHAnsi"/>
                <w:color w:val="000000" w:themeColor="text1"/>
                <w:sz w:val="22"/>
                <w:szCs w:val="22"/>
                <w:lang w:val="de-CH"/>
              </w:rPr>
              <w:lastRenderedPageBreak/>
              <w:t>Prozess-schritt (PS)</w:t>
            </w:r>
          </w:p>
        </w:tc>
        <w:tc>
          <w:tcPr>
            <w:tcW w:w="2328" w:type="dxa"/>
          </w:tcPr>
          <w:p w14:paraId="305993B7" w14:textId="77777777" w:rsidR="00966092" w:rsidRPr="00C34388" w:rsidRDefault="00966092" w:rsidP="00EC792B">
            <w:pPr>
              <w:pStyle w:val="Style1"/>
              <w:ind w:left="0" w:right="134" w:firstLine="0"/>
              <w:rPr>
                <w:rFonts w:asciiTheme="majorHAnsi" w:hAnsiTheme="majorHAnsi" w:cstheme="majorHAnsi"/>
                <w:color w:val="000000" w:themeColor="text1"/>
                <w:sz w:val="22"/>
                <w:szCs w:val="22"/>
                <w:lang w:val="de-CH"/>
              </w:rPr>
            </w:pPr>
            <w:r w:rsidRPr="00C34388">
              <w:rPr>
                <w:rFonts w:asciiTheme="majorHAnsi" w:hAnsiTheme="majorHAnsi" w:cstheme="majorHAnsi"/>
                <w:color w:val="000000" w:themeColor="text1"/>
                <w:sz w:val="22"/>
                <w:szCs w:val="22"/>
                <w:lang w:val="de-CH"/>
              </w:rPr>
              <w:t>Aktivitäten</w:t>
            </w:r>
          </w:p>
        </w:tc>
        <w:tc>
          <w:tcPr>
            <w:tcW w:w="6218" w:type="dxa"/>
          </w:tcPr>
          <w:p w14:paraId="7784B0EA" w14:textId="77777777" w:rsidR="00966092" w:rsidRPr="00C34388" w:rsidRDefault="00966092" w:rsidP="00EC792B">
            <w:pPr>
              <w:pStyle w:val="Style1"/>
              <w:ind w:left="0" w:right="134" w:firstLine="0"/>
              <w:rPr>
                <w:rFonts w:asciiTheme="majorHAnsi" w:hAnsiTheme="majorHAnsi" w:cstheme="majorHAnsi"/>
                <w:color w:val="000000" w:themeColor="text1"/>
                <w:sz w:val="22"/>
                <w:szCs w:val="22"/>
                <w:lang w:val="de-CH"/>
              </w:rPr>
            </w:pPr>
            <w:r w:rsidRPr="00C34388">
              <w:rPr>
                <w:rFonts w:asciiTheme="majorHAnsi" w:hAnsiTheme="majorHAnsi" w:cstheme="majorHAnsi"/>
                <w:color w:val="000000" w:themeColor="text1"/>
                <w:sz w:val="22"/>
                <w:szCs w:val="22"/>
                <w:lang w:val="de-CH"/>
              </w:rPr>
              <w:t>Beschreibung der Aktivität</w:t>
            </w:r>
          </w:p>
        </w:tc>
      </w:tr>
      <w:tr w:rsidR="00920020" w:rsidRPr="00C34388" w14:paraId="2BF9CDD6" w14:textId="77777777" w:rsidTr="00FE05A7">
        <w:tc>
          <w:tcPr>
            <w:tcW w:w="1086" w:type="dxa"/>
          </w:tcPr>
          <w:p w14:paraId="38580729"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PS-01</w:t>
            </w:r>
          </w:p>
        </w:tc>
        <w:tc>
          <w:tcPr>
            <w:tcW w:w="2328" w:type="dxa"/>
          </w:tcPr>
          <w:p w14:paraId="241777AE"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Datensicherheitsverletzung</w:t>
            </w:r>
          </w:p>
        </w:tc>
        <w:tc>
          <w:tcPr>
            <w:tcW w:w="6218" w:type="dxa"/>
          </w:tcPr>
          <w:p w14:paraId="33570223" w14:textId="5470914F"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Eine Datensicherheitsverletzung ist eingetreten und wurde vo</w:t>
            </w:r>
            <w:r w:rsidR="00415D35" w:rsidRPr="00C34388">
              <w:rPr>
                <w:rFonts w:asciiTheme="majorHAnsi" w:hAnsiTheme="majorHAnsi" w:cstheme="majorHAnsi"/>
                <w:b w:val="0"/>
                <w:bCs w:val="0"/>
                <w:color w:val="000000" w:themeColor="text1"/>
                <w:sz w:val="18"/>
                <w:szCs w:val="18"/>
                <w:lang w:val="de-CH"/>
              </w:rPr>
              <w:t xml:space="preserve">m </w:t>
            </w:r>
            <w:r w:rsidRPr="00C34388">
              <w:rPr>
                <w:rFonts w:asciiTheme="majorHAnsi" w:hAnsiTheme="majorHAnsi" w:cstheme="majorHAnsi"/>
                <w:b w:val="0"/>
                <w:bCs w:val="0"/>
                <w:color w:val="000000" w:themeColor="text1"/>
                <w:sz w:val="18"/>
                <w:szCs w:val="18"/>
                <w:lang w:val="de-CH"/>
              </w:rPr>
              <w:t>Datensicherheits</w:t>
            </w:r>
            <w:r w:rsidR="00415D35" w:rsidRPr="00C34388">
              <w:rPr>
                <w:rFonts w:asciiTheme="majorHAnsi" w:hAnsiTheme="majorHAnsi" w:cstheme="majorHAnsi"/>
                <w:b w:val="0"/>
                <w:bCs w:val="0"/>
                <w:color w:val="000000" w:themeColor="text1"/>
                <w:sz w:val="18"/>
                <w:szCs w:val="18"/>
                <w:lang w:val="de-CH"/>
              </w:rPr>
              <w:t>-</w:t>
            </w:r>
            <w:r w:rsidRPr="00C34388">
              <w:rPr>
                <w:rFonts w:asciiTheme="majorHAnsi" w:hAnsiTheme="majorHAnsi" w:cstheme="majorHAnsi"/>
                <w:b w:val="0"/>
                <w:bCs w:val="0"/>
                <w:color w:val="000000" w:themeColor="text1"/>
                <w:sz w:val="18"/>
                <w:szCs w:val="18"/>
                <w:lang w:val="de-CH"/>
              </w:rPr>
              <w:t>verantwortlichen oder von einem Mitarbeitenden erkannt.</w:t>
            </w:r>
          </w:p>
        </w:tc>
      </w:tr>
      <w:tr w:rsidR="00920020" w:rsidRPr="00C34388" w14:paraId="522B5661" w14:textId="77777777" w:rsidTr="00FE05A7">
        <w:tc>
          <w:tcPr>
            <w:tcW w:w="1086" w:type="dxa"/>
          </w:tcPr>
          <w:p w14:paraId="295A4B68"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PS-02</w:t>
            </w:r>
          </w:p>
        </w:tc>
        <w:tc>
          <w:tcPr>
            <w:tcW w:w="2328" w:type="dxa"/>
          </w:tcPr>
          <w:p w14:paraId="080BA542"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Umgehende Meldung</w:t>
            </w:r>
          </w:p>
        </w:tc>
        <w:tc>
          <w:tcPr>
            <w:tcW w:w="6218" w:type="dxa"/>
          </w:tcPr>
          <w:p w14:paraId="41CF8B99"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Haben Mitarbeitende eine (potenzielle) Verletzung der Datensicherheit erkannt, ist die Datensicherheitsverantwortliche Person umgehend darüber in Kenntnis zu setzen.</w:t>
            </w:r>
          </w:p>
        </w:tc>
      </w:tr>
      <w:tr w:rsidR="00920020" w:rsidRPr="00C34388" w14:paraId="46517277" w14:textId="77777777" w:rsidTr="00FE05A7">
        <w:tc>
          <w:tcPr>
            <w:tcW w:w="1086" w:type="dxa"/>
          </w:tcPr>
          <w:p w14:paraId="639DB35C"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PS-03</w:t>
            </w:r>
          </w:p>
        </w:tc>
        <w:tc>
          <w:tcPr>
            <w:tcW w:w="2328" w:type="dxa"/>
          </w:tcPr>
          <w:p w14:paraId="33F6AE62"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Bewertung Datensicherheitsvorfall</w:t>
            </w:r>
          </w:p>
        </w:tc>
        <w:tc>
          <w:tcPr>
            <w:tcW w:w="6218" w:type="dxa"/>
          </w:tcPr>
          <w:p w14:paraId="198CB6E7"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Die Datensicherheitsverantwortliche bewertet die Meldung resp. die vermutete Verletzung der Datensicherheit.</w:t>
            </w:r>
          </w:p>
        </w:tc>
      </w:tr>
      <w:tr w:rsidR="00920020" w:rsidRPr="00C34388" w14:paraId="73846148" w14:textId="77777777" w:rsidTr="00FE05A7">
        <w:tc>
          <w:tcPr>
            <w:tcW w:w="1086" w:type="dxa"/>
          </w:tcPr>
          <w:p w14:paraId="3DA12210"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PS-04</w:t>
            </w:r>
          </w:p>
        </w:tc>
        <w:tc>
          <w:tcPr>
            <w:tcW w:w="2328" w:type="dxa"/>
          </w:tcPr>
          <w:p w14:paraId="69A489B1"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Evaluierung Massnahmen</w:t>
            </w:r>
          </w:p>
        </w:tc>
        <w:tc>
          <w:tcPr>
            <w:tcW w:w="6218" w:type="dxa"/>
          </w:tcPr>
          <w:p w14:paraId="684328E2" w14:textId="4BB91950" w:rsidR="00966092" w:rsidRPr="00C34388" w:rsidRDefault="00415D35"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Der</w:t>
            </w:r>
            <w:r w:rsidR="00966092" w:rsidRPr="00C34388">
              <w:rPr>
                <w:rFonts w:asciiTheme="majorHAnsi" w:hAnsiTheme="majorHAnsi" w:cstheme="majorHAnsi"/>
                <w:b w:val="0"/>
                <w:bCs w:val="0"/>
                <w:color w:val="000000" w:themeColor="text1"/>
                <w:sz w:val="18"/>
                <w:szCs w:val="18"/>
                <w:lang w:val="de-CH"/>
              </w:rPr>
              <w:t xml:space="preserve"> Datensicherheitsverantwortliche beurteilt die Verletzung der Datensicherheit auf Basis des zu erwartenden Risikos und legt fest, ob und welche Massnahmen zur Behandlung der Verletzung notwendig sind. Bei der Definition von Massnahmen kann unterschieden werden zwischen Sofortmassnahmen zur Eindämmung des Vorfalls und Massnahmen zur</w:t>
            </w:r>
            <w:r w:rsidRPr="00C34388">
              <w:rPr>
                <w:rFonts w:asciiTheme="majorHAnsi" w:hAnsiTheme="majorHAnsi" w:cstheme="majorHAnsi"/>
                <w:b w:val="0"/>
                <w:bCs w:val="0"/>
                <w:color w:val="000000" w:themeColor="text1"/>
                <w:sz w:val="18"/>
                <w:szCs w:val="18"/>
                <w:lang w:val="de-CH"/>
              </w:rPr>
              <w:t xml:space="preserve"> langfristigen Vermeidung </w:t>
            </w:r>
            <w:r w:rsidR="00966092" w:rsidRPr="00C34388">
              <w:rPr>
                <w:rFonts w:asciiTheme="majorHAnsi" w:hAnsiTheme="majorHAnsi" w:cstheme="majorHAnsi"/>
                <w:b w:val="0"/>
                <w:bCs w:val="0"/>
                <w:color w:val="000000" w:themeColor="text1"/>
                <w:sz w:val="18"/>
                <w:szCs w:val="18"/>
                <w:lang w:val="de-CH"/>
              </w:rPr>
              <w:t>der Ursache und Behandlung des Vorfalls.</w:t>
            </w:r>
          </w:p>
        </w:tc>
      </w:tr>
      <w:tr w:rsidR="00920020" w:rsidRPr="00C34388" w14:paraId="2783428C" w14:textId="77777777" w:rsidTr="00FE05A7">
        <w:tc>
          <w:tcPr>
            <w:tcW w:w="1086" w:type="dxa"/>
          </w:tcPr>
          <w:p w14:paraId="3894F8AC"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PS-05</w:t>
            </w:r>
          </w:p>
        </w:tc>
        <w:tc>
          <w:tcPr>
            <w:tcW w:w="2328" w:type="dxa"/>
          </w:tcPr>
          <w:p w14:paraId="4614BF84" w14:textId="77777777"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Umsetzung sofortige Massnahmen</w:t>
            </w:r>
          </w:p>
        </w:tc>
        <w:tc>
          <w:tcPr>
            <w:tcW w:w="6218" w:type="dxa"/>
          </w:tcPr>
          <w:p w14:paraId="25040D69" w14:textId="494DEBD9" w:rsidR="00966092" w:rsidRPr="00C34388" w:rsidRDefault="00966092" w:rsidP="00EC792B">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 xml:space="preserve">Wurden in PS-04 Sofortmassnahmen definiert, werden diese direkt umgesetzt, um die Verletzung der Datensicherheit einzudämmen </w:t>
            </w:r>
            <w:r w:rsidR="00415D35" w:rsidRPr="00C34388">
              <w:rPr>
                <w:rFonts w:asciiTheme="majorHAnsi" w:hAnsiTheme="majorHAnsi" w:cstheme="majorHAnsi"/>
                <w:b w:val="0"/>
                <w:bCs w:val="0"/>
                <w:color w:val="000000" w:themeColor="text1"/>
                <w:sz w:val="18"/>
                <w:szCs w:val="18"/>
                <w:lang w:val="de-CH"/>
              </w:rPr>
              <w:t>(z.B.</w:t>
            </w:r>
            <w:r w:rsidRPr="00C34388">
              <w:rPr>
                <w:rFonts w:asciiTheme="majorHAnsi" w:hAnsiTheme="majorHAnsi" w:cstheme="majorHAnsi"/>
                <w:b w:val="0"/>
                <w:bCs w:val="0"/>
                <w:color w:val="000000" w:themeColor="text1"/>
                <w:sz w:val="18"/>
                <w:szCs w:val="18"/>
                <w:lang w:val="de-CH"/>
              </w:rPr>
              <w:t xml:space="preserve"> Isolation oder Ausser</w:t>
            </w:r>
            <w:r w:rsidR="00415D35" w:rsidRPr="00C34388">
              <w:rPr>
                <w:rFonts w:asciiTheme="majorHAnsi" w:hAnsiTheme="majorHAnsi" w:cstheme="majorHAnsi"/>
                <w:b w:val="0"/>
                <w:bCs w:val="0"/>
                <w:color w:val="000000" w:themeColor="text1"/>
                <w:sz w:val="18"/>
                <w:szCs w:val="18"/>
                <w:lang w:val="de-CH"/>
              </w:rPr>
              <w:t>-</w:t>
            </w:r>
            <w:r w:rsidRPr="00C34388">
              <w:rPr>
                <w:rFonts w:asciiTheme="majorHAnsi" w:hAnsiTheme="majorHAnsi" w:cstheme="majorHAnsi"/>
                <w:b w:val="0"/>
                <w:bCs w:val="0"/>
                <w:color w:val="000000" w:themeColor="text1"/>
                <w:sz w:val="18"/>
                <w:szCs w:val="18"/>
                <w:lang w:val="de-CH"/>
              </w:rPr>
              <w:t>betriebnahme von einzelnen Diensten oder Systemen).</w:t>
            </w:r>
          </w:p>
        </w:tc>
      </w:tr>
      <w:tr w:rsidR="00094716" w:rsidRPr="00C34388" w14:paraId="38DB1E0C" w14:textId="77777777" w:rsidTr="00FE05A7">
        <w:tc>
          <w:tcPr>
            <w:tcW w:w="1086" w:type="dxa"/>
          </w:tcPr>
          <w:p w14:paraId="6D77DE21" w14:textId="4FBBAC93"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lang w:val="de-CH"/>
              </w:rPr>
              <w:t>PS-0</w:t>
            </w:r>
            <w:r>
              <w:rPr>
                <w:rFonts w:asciiTheme="majorHAnsi" w:hAnsiTheme="majorHAnsi" w:cstheme="majorHAnsi"/>
                <w:b w:val="0"/>
                <w:bCs w:val="0"/>
                <w:color w:val="000000" w:themeColor="text1"/>
                <w:sz w:val="18"/>
                <w:szCs w:val="18"/>
                <w:lang w:val="de-CH"/>
              </w:rPr>
              <w:t>6</w:t>
            </w:r>
          </w:p>
        </w:tc>
        <w:tc>
          <w:tcPr>
            <w:tcW w:w="2328" w:type="dxa"/>
          </w:tcPr>
          <w:p w14:paraId="2A9191C0" w14:textId="4D23AA09"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lang w:val="de-CH"/>
              </w:rPr>
              <w:t>Meldepflicht DSG?</w:t>
            </w:r>
          </w:p>
        </w:tc>
        <w:tc>
          <w:tcPr>
            <w:tcW w:w="6218" w:type="dxa"/>
          </w:tcPr>
          <w:p w14:paraId="2D914399" w14:textId="6C3EF6E8"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rPr>
            </w:pPr>
            <w:r w:rsidRPr="00C34388">
              <w:rPr>
                <w:rFonts w:asciiTheme="majorHAnsi" w:hAnsiTheme="majorHAnsi" w:cstheme="majorHAnsi"/>
                <w:b w:val="0"/>
                <w:bCs w:val="0"/>
                <w:color w:val="000000" w:themeColor="text1"/>
                <w:sz w:val="18"/>
                <w:szCs w:val="18"/>
                <w:lang w:val="de-CH"/>
              </w:rPr>
              <w:t>Die Datensicherheitsverantwortliche prüft in einem weiteren Schritt, ob die Verletzung der Datensicherheit möglicherweise zu einem hohen Risiko für die betroffenen Personen führt (vgl. «Meldepflicht»). Falls ja, wird das Management entsprechend informiert, welches über eine Meldepflicht beim EDÖB entscheidet.</w:t>
            </w:r>
          </w:p>
        </w:tc>
      </w:tr>
      <w:tr w:rsidR="00094716" w:rsidRPr="00C34388" w14:paraId="6886670C" w14:textId="77777777" w:rsidTr="00FE05A7">
        <w:tc>
          <w:tcPr>
            <w:tcW w:w="1086" w:type="dxa"/>
          </w:tcPr>
          <w:p w14:paraId="719CC0AF" w14:textId="1F4A5309"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PS-0</w:t>
            </w:r>
            <w:r>
              <w:rPr>
                <w:rFonts w:asciiTheme="majorHAnsi" w:hAnsiTheme="majorHAnsi" w:cstheme="majorHAnsi"/>
                <w:b w:val="0"/>
                <w:bCs w:val="0"/>
                <w:color w:val="000000" w:themeColor="text1"/>
                <w:sz w:val="18"/>
                <w:szCs w:val="18"/>
                <w:lang w:val="de-CH"/>
              </w:rPr>
              <w:t>7</w:t>
            </w:r>
          </w:p>
        </w:tc>
        <w:tc>
          <w:tcPr>
            <w:tcW w:w="2328" w:type="dxa"/>
          </w:tcPr>
          <w:p w14:paraId="2598F2E3" w14:textId="061358E4"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Meldung an EDÖB</w:t>
            </w:r>
          </w:p>
        </w:tc>
        <w:tc>
          <w:tcPr>
            <w:tcW w:w="6218" w:type="dxa"/>
          </w:tcPr>
          <w:p w14:paraId="2F45D854"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Liegt eine Meldepflicht vor, wird die Meldung an den EDÖB vorbereitet. Das Datenschutzgesetz sieht dabei vor, dass die Meldung über die Verletzung der Datensicherheit an den EDÖB mindestens folgende Punkte beinhaltet:</w:t>
            </w:r>
          </w:p>
          <w:p w14:paraId="2588DC85" w14:textId="77777777" w:rsidR="00094716" w:rsidRPr="00C34388" w:rsidRDefault="00094716" w:rsidP="00094716">
            <w:pPr>
              <w:pStyle w:val="Style1"/>
              <w:numPr>
                <w:ilvl w:val="0"/>
                <w:numId w:val="6"/>
              </w:numPr>
              <w:spacing w:after="0" w:line="288" w:lineRule="auto"/>
              <w:ind w:left="312"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Art der Verletzung der Datensicherheit (z. B. Zerstörung der Daten, Diebstahl der Daten etc.);</w:t>
            </w:r>
          </w:p>
          <w:p w14:paraId="0E80912B" w14:textId="77777777" w:rsidR="00094716" w:rsidRPr="00C34388" w:rsidRDefault="00094716" w:rsidP="00094716">
            <w:pPr>
              <w:pStyle w:val="Style1"/>
              <w:numPr>
                <w:ilvl w:val="0"/>
                <w:numId w:val="6"/>
              </w:numPr>
              <w:spacing w:after="0" w:line="288" w:lineRule="auto"/>
              <w:ind w:left="312"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sofern bekannt, Zeitpunkt und Dauer der Verletzung;</w:t>
            </w:r>
          </w:p>
          <w:p w14:paraId="754DD098" w14:textId="77777777" w:rsidR="00094716" w:rsidRPr="00C34388" w:rsidRDefault="00094716" w:rsidP="00094716">
            <w:pPr>
              <w:pStyle w:val="Style1"/>
              <w:numPr>
                <w:ilvl w:val="0"/>
                <w:numId w:val="6"/>
              </w:numPr>
              <w:spacing w:after="0" w:line="288" w:lineRule="auto"/>
              <w:ind w:left="312"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soweit möglich, die Kategorien der Personendaten und die ungefähre Anzahl der betroffenen Personendaten;</w:t>
            </w:r>
          </w:p>
          <w:p w14:paraId="45485D57" w14:textId="77777777" w:rsidR="00094716" w:rsidRPr="00C34388" w:rsidRDefault="00094716" w:rsidP="00094716">
            <w:pPr>
              <w:pStyle w:val="Style1"/>
              <w:numPr>
                <w:ilvl w:val="0"/>
                <w:numId w:val="6"/>
              </w:numPr>
              <w:spacing w:after="0" w:line="288" w:lineRule="auto"/>
              <w:ind w:left="312"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soweit möglich, die Kategorien der betroffenen Personen und die ungefähre Anzahl der betroffenen Personen;</w:t>
            </w:r>
          </w:p>
          <w:p w14:paraId="0431B1D8" w14:textId="77777777" w:rsidR="00094716" w:rsidRPr="00C34388" w:rsidRDefault="00094716" w:rsidP="00094716">
            <w:pPr>
              <w:pStyle w:val="Style1"/>
              <w:numPr>
                <w:ilvl w:val="0"/>
                <w:numId w:val="6"/>
              </w:numPr>
              <w:spacing w:after="0" w:line="288" w:lineRule="auto"/>
              <w:ind w:left="312"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 xml:space="preserve">Folgen der Verletzung der Datensicherheit, einschliesslich der allfälligen Risiken für die betroffenen Personen (z. B. Gefährdung der Persönlichkeit der Betroffenen, Einreiseverbot etc.) </w:t>
            </w:r>
          </w:p>
          <w:p w14:paraId="018059C7" w14:textId="77777777" w:rsidR="00094716" w:rsidRPr="00C34388" w:rsidRDefault="00094716" w:rsidP="00094716">
            <w:pPr>
              <w:pStyle w:val="Style1"/>
              <w:numPr>
                <w:ilvl w:val="0"/>
                <w:numId w:val="6"/>
              </w:numPr>
              <w:spacing w:after="0" w:line="288" w:lineRule="auto"/>
              <w:ind w:left="312"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ergriffene oder vorgesehene Massnahmen, um den Mangel zu beheben oder die Folgen zu mindern (z. B. Wiederherstellung des Back-ups bei digitalen Daten),</w:t>
            </w:r>
          </w:p>
          <w:p w14:paraId="3400E483" w14:textId="77777777" w:rsidR="00094716" w:rsidRPr="00C34388" w:rsidRDefault="00094716" w:rsidP="00094716">
            <w:pPr>
              <w:pStyle w:val="Style1"/>
              <w:numPr>
                <w:ilvl w:val="0"/>
                <w:numId w:val="6"/>
              </w:numPr>
              <w:spacing w:after="0" w:line="288" w:lineRule="auto"/>
              <w:ind w:left="312"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Namen und Kontaktdaten einer Ansprechperson.</w:t>
            </w:r>
          </w:p>
          <w:p w14:paraId="77AAA4EF" w14:textId="214B386E"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Ist es nicht möglich, alle Informationen zur gleichen Zeit mitzuteilen, können die weiteren Informationen dem EDÖB in einem angemessenen Zeitrahmen schrittweise zur Verfügung gestellt werden.</w:t>
            </w:r>
            <w:r w:rsidRPr="00C34388">
              <w:rPr>
                <w:rFonts w:asciiTheme="majorHAnsi" w:hAnsiTheme="majorHAnsi" w:cstheme="majorHAnsi"/>
                <w:b w:val="0"/>
                <w:bCs w:val="0"/>
                <w:color w:val="000000" w:themeColor="text1"/>
                <w:sz w:val="18"/>
                <w:szCs w:val="18"/>
                <w:lang w:val="de-CH"/>
              </w:rPr>
              <w:br/>
            </w:r>
            <w:r w:rsidRPr="00C34388">
              <w:rPr>
                <w:rFonts w:asciiTheme="majorHAnsi" w:hAnsiTheme="majorHAnsi" w:cstheme="majorHAnsi"/>
                <w:color w:val="000000" w:themeColor="text1"/>
                <w:sz w:val="18"/>
                <w:szCs w:val="18"/>
                <w:lang w:val="de-CH"/>
              </w:rPr>
              <w:t>Hinweis</w:t>
            </w:r>
            <w:r w:rsidRPr="00C34388">
              <w:rPr>
                <w:rFonts w:asciiTheme="majorHAnsi" w:hAnsiTheme="majorHAnsi" w:cstheme="majorHAnsi"/>
                <w:b w:val="0"/>
                <w:bCs w:val="0"/>
                <w:color w:val="000000" w:themeColor="text1"/>
                <w:sz w:val="18"/>
                <w:szCs w:val="18"/>
                <w:lang w:val="de-CH"/>
              </w:rPr>
              <w:t>: Für die Eruierung, welche betroffenen Personenkategorien und -daten von der Verletzung der Datensicherheit betroffen sind, könnte ein vorgängig erstelltes Verzeichnis der Bearbeitungstätigkeiten eine Hilfestellung bieten.</w:t>
            </w:r>
          </w:p>
        </w:tc>
      </w:tr>
      <w:tr w:rsidR="00094716" w:rsidRPr="00C34388" w14:paraId="3B1D91F8" w14:textId="77777777" w:rsidTr="00FE05A7">
        <w:tc>
          <w:tcPr>
            <w:tcW w:w="1086" w:type="dxa"/>
          </w:tcPr>
          <w:p w14:paraId="4959F075"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lastRenderedPageBreak/>
              <w:t>PS-08</w:t>
            </w:r>
          </w:p>
        </w:tc>
        <w:tc>
          <w:tcPr>
            <w:tcW w:w="2328" w:type="dxa"/>
          </w:tcPr>
          <w:p w14:paraId="1A6A8C20"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Information betroffene Personen?</w:t>
            </w:r>
          </w:p>
        </w:tc>
        <w:tc>
          <w:tcPr>
            <w:tcW w:w="6218" w:type="dxa"/>
          </w:tcPr>
          <w:p w14:paraId="048E7661"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Die Datensicherheitsverantwortliche evaluiert, ob die von der Datensicherheitsverletzung betroffenen Personen zu informieren sind.</w:t>
            </w:r>
            <w:r w:rsidRPr="00C34388">
              <w:rPr>
                <w:rFonts w:asciiTheme="majorHAnsi" w:hAnsiTheme="majorHAnsi" w:cstheme="majorHAnsi"/>
                <w:b w:val="0"/>
                <w:bCs w:val="0"/>
                <w:color w:val="000000" w:themeColor="text1"/>
                <w:sz w:val="18"/>
                <w:szCs w:val="18"/>
                <w:lang w:val="de-CH"/>
              </w:rPr>
              <w:br/>
              <w:t>Die betroffenen Personen sind zu informieren, wenn:</w:t>
            </w:r>
          </w:p>
          <w:p w14:paraId="6860170A" w14:textId="77777777" w:rsidR="00094716" w:rsidRPr="00C34388" w:rsidRDefault="00094716" w:rsidP="00094716">
            <w:pPr>
              <w:pStyle w:val="Style1"/>
              <w:numPr>
                <w:ilvl w:val="0"/>
                <w:numId w:val="7"/>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zu treffende Schutzmassnahmen nötig sind (z. B. Änderung von Zugangsdaten wie Passwörtern) oder</w:t>
            </w:r>
          </w:p>
          <w:p w14:paraId="4960D67D" w14:textId="77777777" w:rsidR="00094716" w:rsidRPr="00C34388" w:rsidRDefault="00094716" w:rsidP="00094716">
            <w:pPr>
              <w:pStyle w:val="Style1"/>
              <w:numPr>
                <w:ilvl w:val="0"/>
                <w:numId w:val="7"/>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es der EDÖB verlangt.</w:t>
            </w:r>
          </w:p>
          <w:p w14:paraId="23115CEB" w14:textId="77777777" w:rsidR="00094716" w:rsidRPr="00C34388" w:rsidRDefault="00094716" w:rsidP="00094716">
            <w:pPr>
              <w:pStyle w:val="Style1"/>
              <w:spacing w:after="0" w:line="288" w:lineRule="auto"/>
              <w:ind w:left="3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Die Datensicherheitsverantwortliche kann die Information der betroffenen Personen einschränken, aufschieben oder darauf verzichten, wenn:</w:t>
            </w:r>
          </w:p>
          <w:p w14:paraId="6C265F3D" w14:textId="77777777" w:rsidR="00094716" w:rsidRPr="00C34388" w:rsidRDefault="00094716" w:rsidP="00094716">
            <w:pPr>
              <w:pStyle w:val="Style1"/>
              <w:numPr>
                <w:ilvl w:val="0"/>
                <w:numId w:val="8"/>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dies aufgrund überwiegender Interessen erforderlich ist;</w:t>
            </w:r>
          </w:p>
          <w:p w14:paraId="17208606" w14:textId="77777777" w:rsidR="00094716" w:rsidRPr="00C34388" w:rsidRDefault="00094716" w:rsidP="00094716">
            <w:pPr>
              <w:pStyle w:val="Style1"/>
              <w:numPr>
                <w:ilvl w:val="0"/>
                <w:numId w:val="8"/>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die Information aufgrund einer gesetzlichen Geheimhaltungspflicht verboten ist;</w:t>
            </w:r>
          </w:p>
          <w:p w14:paraId="55C24628" w14:textId="77777777" w:rsidR="00094716" w:rsidRPr="00C34388" w:rsidRDefault="00094716" w:rsidP="00094716">
            <w:pPr>
              <w:pStyle w:val="Style1"/>
              <w:numPr>
                <w:ilvl w:val="0"/>
                <w:numId w:val="8"/>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die Information unmöglich ist oder einen unverhältnismässigen Aufwand mit sich bringt oder</w:t>
            </w:r>
          </w:p>
          <w:p w14:paraId="190A4C4B" w14:textId="77777777" w:rsidR="00094716" w:rsidRPr="00C34388" w:rsidRDefault="00094716" w:rsidP="00094716">
            <w:pPr>
              <w:pStyle w:val="Style1"/>
              <w:numPr>
                <w:ilvl w:val="0"/>
                <w:numId w:val="8"/>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die Information der betroffenen Person durch eine öffentliche Bekanntmachung in vergleichbarer Weise sichergestellt ist.</w:t>
            </w:r>
          </w:p>
        </w:tc>
      </w:tr>
      <w:tr w:rsidR="00094716" w:rsidRPr="00C34388" w14:paraId="4F7A7587" w14:textId="77777777" w:rsidTr="00FE05A7">
        <w:tc>
          <w:tcPr>
            <w:tcW w:w="1086" w:type="dxa"/>
          </w:tcPr>
          <w:p w14:paraId="78759DD3"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PS-09</w:t>
            </w:r>
          </w:p>
        </w:tc>
        <w:tc>
          <w:tcPr>
            <w:tcW w:w="2328" w:type="dxa"/>
          </w:tcPr>
          <w:p w14:paraId="53349379"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Meldung an betroffene Personen</w:t>
            </w:r>
          </w:p>
        </w:tc>
        <w:tc>
          <w:tcPr>
            <w:tcW w:w="6218" w:type="dxa"/>
          </w:tcPr>
          <w:p w14:paraId="230A717C"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Hat sich in PS-08 ergeben, dass eine Information der Betroffenen erforderlich ist, ist eine Meldung über die Datensicherheitsverletzung vorzubereiten. Die Meldung enthält mindestens folgende Angaben:</w:t>
            </w:r>
          </w:p>
          <w:p w14:paraId="62B0646E" w14:textId="77777777" w:rsidR="00094716" w:rsidRPr="00C34388" w:rsidRDefault="00094716" w:rsidP="00094716">
            <w:pPr>
              <w:pStyle w:val="Style1"/>
              <w:numPr>
                <w:ilvl w:val="0"/>
                <w:numId w:val="9"/>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Art der Verletzung der Datensicherheit (z. B. Zerstörung der Daten, Diebstahl der Daten etc.)</w:t>
            </w:r>
          </w:p>
          <w:p w14:paraId="2409CD9E" w14:textId="77777777" w:rsidR="00094716" w:rsidRPr="00C34388" w:rsidRDefault="00094716" w:rsidP="00094716">
            <w:pPr>
              <w:pStyle w:val="Style1"/>
              <w:numPr>
                <w:ilvl w:val="0"/>
                <w:numId w:val="9"/>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 xml:space="preserve">Folgen der Verletzung der Datensicherheit, einschliesslich der allfälligen Risiken für die betroffenen Personen (z. B. Gefährdung der Persönlichkeit der Betroffenen, Einreiseverbot etc.) </w:t>
            </w:r>
          </w:p>
          <w:p w14:paraId="2721F154" w14:textId="35DCC98B" w:rsidR="00094716" w:rsidRPr="00C34388" w:rsidRDefault="00094716" w:rsidP="00094716">
            <w:pPr>
              <w:pStyle w:val="Style1"/>
              <w:numPr>
                <w:ilvl w:val="0"/>
                <w:numId w:val="9"/>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Ergriffene oder vorgesehene Massnahmen, um den Mangel zu beheben oder die Folgen zu mindern (z. B. Wiederherstellung des Back-ups bei digitalen Daten)</w:t>
            </w:r>
          </w:p>
          <w:p w14:paraId="5C33EF91" w14:textId="77777777" w:rsidR="00094716" w:rsidRPr="00C34388" w:rsidRDefault="00094716" w:rsidP="00094716">
            <w:pPr>
              <w:pStyle w:val="Style1"/>
              <w:numPr>
                <w:ilvl w:val="0"/>
                <w:numId w:val="9"/>
              </w:numPr>
              <w:spacing w:after="0" w:line="288" w:lineRule="auto"/>
              <w:ind w:left="314" w:right="134" w:hanging="284"/>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Namen und Kontaktdaten einer Ansprechperson.</w:t>
            </w:r>
          </w:p>
        </w:tc>
      </w:tr>
      <w:tr w:rsidR="00094716" w:rsidRPr="00C34388" w14:paraId="2CE63F8B" w14:textId="77777777" w:rsidTr="00FE05A7">
        <w:tc>
          <w:tcPr>
            <w:tcW w:w="1086" w:type="dxa"/>
          </w:tcPr>
          <w:p w14:paraId="27FB8C71"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PS-10</w:t>
            </w:r>
          </w:p>
        </w:tc>
        <w:tc>
          <w:tcPr>
            <w:tcW w:w="2328" w:type="dxa"/>
          </w:tcPr>
          <w:p w14:paraId="7847A111"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Weitere Massnahmen?</w:t>
            </w:r>
          </w:p>
        </w:tc>
        <w:tc>
          <w:tcPr>
            <w:tcW w:w="6218" w:type="dxa"/>
          </w:tcPr>
          <w:p w14:paraId="6EFAF718"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Wurden die Sofortmassnahmen umgesetzt und die Meldepflicht gegenüber dem EDÖB sowie den betroffenen Personen geprüft und allenfalls veranlasst, ist festzustellen, ob weitere Massnahmen notwendig sind. Gegebenenfalls besteht die Notwendigkeit weiterer Massnahmen, die jedoch mittel- oder langfristig umgesetzt werden können (siehe auch PS-04).</w:t>
            </w:r>
          </w:p>
        </w:tc>
      </w:tr>
      <w:tr w:rsidR="00094716" w:rsidRPr="00C34388" w14:paraId="000A4236" w14:textId="77777777" w:rsidTr="00FE05A7">
        <w:tc>
          <w:tcPr>
            <w:tcW w:w="1086" w:type="dxa"/>
          </w:tcPr>
          <w:p w14:paraId="182079A9"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PS-11</w:t>
            </w:r>
          </w:p>
        </w:tc>
        <w:tc>
          <w:tcPr>
            <w:tcW w:w="2328" w:type="dxa"/>
          </w:tcPr>
          <w:p w14:paraId="30E80AC8"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Umsetzung weitere Massnahmen</w:t>
            </w:r>
          </w:p>
        </w:tc>
        <w:tc>
          <w:tcPr>
            <w:tcW w:w="6218" w:type="dxa"/>
          </w:tcPr>
          <w:p w14:paraId="50F271F2"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Wurde weiterer Bedarf für Massnahmen ermittelt, kann die Umsetzung dieser erfolgen.</w:t>
            </w:r>
          </w:p>
        </w:tc>
      </w:tr>
      <w:tr w:rsidR="00094716" w:rsidRPr="00C34388" w14:paraId="2D275839" w14:textId="77777777" w:rsidTr="00FE05A7">
        <w:tc>
          <w:tcPr>
            <w:tcW w:w="1086" w:type="dxa"/>
          </w:tcPr>
          <w:p w14:paraId="249AB74F"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PS-12</w:t>
            </w:r>
          </w:p>
        </w:tc>
        <w:tc>
          <w:tcPr>
            <w:tcW w:w="2328" w:type="dxa"/>
          </w:tcPr>
          <w:p w14:paraId="5E771330"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Dokumentation</w:t>
            </w:r>
          </w:p>
        </w:tc>
        <w:tc>
          <w:tcPr>
            <w:tcW w:w="6218" w:type="dxa"/>
          </w:tcPr>
          <w:p w14:paraId="1927F67A" w14:textId="07FAB879"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Die Datensicherheitsverantwortliche dokumentiert in jedem Fall die Verletzung der</w:t>
            </w:r>
            <w:r w:rsidRPr="00C34388">
              <w:rPr>
                <w:rFonts w:asciiTheme="majorHAnsi" w:hAnsiTheme="majorHAnsi" w:cstheme="majorHAnsi"/>
                <w:b w:val="0"/>
                <w:bCs w:val="0"/>
                <w:color w:val="000000" w:themeColor="text1"/>
                <w:sz w:val="18"/>
                <w:szCs w:val="18"/>
                <w:lang w:val="de-CH"/>
              </w:rPr>
              <w:br/>
              <w:t>Datensicherheit (vgl. «Checkliste»).</w:t>
            </w:r>
          </w:p>
        </w:tc>
      </w:tr>
      <w:tr w:rsidR="00094716" w:rsidRPr="00C34388" w14:paraId="06E40780" w14:textId="77777777" w:rsidTr="00FE05A7">
        <w:tc>
          <w:tcPr>
            <w:tcW w:w="1086" w:type="dxa"/>
          </w:tcPr>
          <w:p w14:paraId="59705B7F"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PS-13</w:t>
            </w:r>
          </w:p>
        </w:tc>
        <w:tc>
          <w:tcPr>
            <w:tcW w:w="2328" w:type="dxa"/>
          </w:tcPr>
          <w:p w14:paraId="4672FA57" w14:textId="77777777"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Datensicherheitsverletzung bearbeitet</w:t>
            </w:r>
          </w:p>
        </w:tc>
        <w:tc>
          <w:tcPr>
            <w:tcW w:w="6218" w:type="dxa"/>
          </w:tcPr>
          <w:p w14:paraId="43FAC854" w14:textId="7815492D" w:rsidR="00094716" w:rsidRPr="00C34388" w:rsidRDefault="00094716" w:rsidP="00094716">
            <w:pPr>
              <w:pStyle w:val="Style1"/>
              <w:spacing w:after="0" w:line="288" w:lineRule="auto"/>
              <w:ind w:left="0" w:right="134" w:firstLine="0"/>
              <w:rPr>
                <w:rFonts w:asciiTheme="majorHAnsi" w:hAnsiTheme="majorHAnsi" w:cstheme="majorHAnsi"/>
                <w:b w:val="0"/>
                <w:bCs w:val="0"/>
                <w:color w:val="000000" w:themeColor="text1"/>
                <w:sz w:val="18"/>
                <w:szCs w:val="18"/>
                <w:lang w:val="de-CH"/>
              </w:rPr>
            </w:pPr>
            <w:r w:rsidRPr="00C34388">
              <w:rPr>
                <w:rFonts w:asciiTheme="majorHAnsi" w:hAnsiTheme="majorHAnsi" w:cstheme="majorHAnsi"/>
                <w:b w:val="0"/>
                <w:bCs w:val="0"/>
                <w:color w:val="000000" w:themeColor="text1"/>
                <w:sz w:val="18"/>
                <w:szCs w:val="18"/>
                <w:lang w:val="de-CH"/>
              </w:rPr>
              <w:t xml:space="preserve">Nach Umsetzung notwendiger Massnahmen, </w:t>
            </w:r>
            <w:r>
              <w:rPr>
                <w:rFonts w:asciiTheme="majorHAnsi" w:hAnsiTheme="majorHAnsi" w:cstheme="majorHAnsi"/>
                <w:b w:val="0"/>
                <w:bCs w:val="0"/>
                <w:color w:val="000000" w:themeColor="text1"/>
                <w:sz w:val="18"/>
                <w:szCs w:val="18"/>
                <w:lang w:val="de-CH"/>
              </w:rPr>
              <w:t xml:space="preserve">Beantwortung allfälliger Nachfragen vom EDÖB, </w:t>
            </w:r>
            <w:r w:rsidRPr="00C34388">
              <w:rPr>
                <w:rFonts w:asciiTheme="majorHAnsi" w:hAnsiTheme="majorHAnsi" w:cstheme="majorHAnsi"/>
                <w:b w:val="0"/>
                <w:bCs w:val="0"/>
                <w:color w:val="000000" w:themeColor="text1"/>
                <w:sz w:val="18"/>
                <w:szCs w:val="18"/>
                <w:lang w:val="de-CH"/>
              </w:rPr>
              <w:t>Erstattung einer allfälligen Meldung sowie der Dokumentation der Verletzung der Datensicherheit ist der Prozess abgeschlossen.</w:t>
            </w:r>
          </w:p>
        </w:tc>
      </w:tr>
    </w:tbl>
    <w:p w14:paraId="750069D3" w14:textId="77777777" w:rsidR="00966092" w:rsidRPr="00C34388" w:rsidRDefault="00966092" w:rsidP="00EC792B">
      <w:pPr>
        <w:pStyle w:val="Style1"/>
        <w:ind w:left="0" w:right="134" w:firstLine="0"/>
        <w:rPr>
          <w:rFonts w:asciiTheme="majorHAnsi" w:hAnsiTheme="majorHAnsi" w:cstheme="majorHAnsi"/>
          <w:color w:val="000000" w:themeColor="text1"/>
          <w:sz w:val="52"/>
          <w:szCs w:val="52"/>
        </w:rPr>
      </w:pPr>
    </w:p>
    <w:bookmarkEnd w:id="0"/>
    <w:bookmarkEnd w:id="1"/>
    <w:p w14:paraId="2BE8C9ED" w14:textId="77777777" w:rsidR="00966092" w:rsidRPr="00C34388" w:rsidRDefault="00966092" w:rsidP="00EC792B">
      <w:pPr>
        <w:spacing w:after="0" w:line="240" w:lineRule="auto"/>
        <w:ind w:right="134"/>
        <w:jc w:val="left"/>
        <w:rPr>
          <w:rStyle w:val="eop"/>
          <w:rFonts w:asciiTheme="majorHAnsi" w:hAnsiTheme="majorHAnsi" w:cstheme="majorHAnsi"/>
          <w:color w:val="000000" w:themeColor="text1"/>
          <w:sz w:val="20"/>
          <w:szCs w:val="20"/>
        </w:rPr>
      </w:pPr>
    </w:p>
    <w:p w14:paraId="1C974FC2" w14:textId="77777777" w:rsidR="00670A74" w:rsidRPr="00C34388" w:rsidRDefault="00670A74" w:rsidP="00EC792B">
      <w:pPr>
        <w:ind w:right="134"/>
        <w:jc w:val="left"/>
        <w:rPr>
          <w:rFonts w:asciiTheme="majorHAnsi" w:hAnsiTheme="majorHAnsi" w:cstheme="majorHAnsi"/>
          <w:color w:val="000000" w:themeColor="text1"/>
        </w:rPr>
      </w:pPr>
    </w:p>
    <w:sectPr w:rsidR="00670A74" w:rsidRPr="00C34388" w:rsidSect="00B055A9">
      <w:headerReference w:type="default" r:id="rId14"/>
      <w:footerReference w:type="even" r:id="rId15"/>
      <w:footerReference w:type="default" r:id="rId16"/>
      <w:headerReference w:type="first" r:id="rId17"/>
      <w:footerReference w:type="first" r:id="rId18"/>
      <w:pgSz w:w="11900" w:h="16840"/>
      <w:pgMar w:top="1418" w:right="1134" w:bottom="1276"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4C1D" w14:textId="77777777" w:rsidR="00545819" w:rsidRDefault="00545819" w:rsidP="00966092">
      <w:pPr>
        <w:spacing w:after="0" w:line="240" w:lineRule="auto"/>
      </w:pPr>
      <w:r>
        <w:separator/>
      </w:r>
    </w:p>
  </w:endnote>
  <w:endnote w:type="continuationSeparator" w:id="0">
    <w:p w14:paraId="00D280B9" w14:textId="77777777" w:rsidR="00545819" w:rsidRDefault="00545819" w:rsidP="0096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eSans C5 Plain">
    <w:altName w:val="Calibri"/>
    <w:panose1 w:val="00000000000000000000"/>
    <w:charset w:val="00"/>
    <w:family w:val="swiss"/>
    <w:notTrueType/>
    <w:pitch w:val="variable"/>
    <w:sig w:usb0="A00000FF" w:usb1="5000F0FB" w:usb2="00000000" w:usb3="00000000" w:csb0="00000193"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B6E5" w14:textId="77777777" w:rsidR="00B1133F" w:rsidRDefault="0090562E">
    <w:pPr>
      <w:pStyle w:val="HeaderFooter"/>
      <w:rPr>
        <w:rFonts w:ascii="Times New Roman" w:eastAsia="Times New Roman" w:hAnsi="Times New Roman"/>
        <w:color w:val="auto"/>
        <w:lang w:val="de-DE"/>
      </w:rPr>
    </w:pPr>
    <w:proofErr w:type="spellStart"/>
    <w:r>
      <w:rPr>
        <w:lang w:val="de-DE"/>
      </w:rPr>
      <w:t>Redguard</w:t>
    </w:r>
    <w:proofErr w:type="spellEnd"/>
    <w:r>
      <w:rPr>
        <w:lang w:val="de-DE"/>
      </w:rPr>
      <w:t xml:space="preserve"> AG – </w:t>
    </w:r>
    <w:proofErr w:type="spellStart"/>
    <w:r>
      <w:rPr>
        <w:lang w:val="de-DE"/>
      </w:rPr>
      <w:t>Suedbahnhofstrasse</w:t>
    </w:r>
    <w:proofErr w:type="spellEnd"/>
    <w:r>
      <w:rPr>
        <w:lang w:val="de-DE"/>
      </w:rPr>
      <w:t xml:space="preserv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8462" w14:textId="6EEB0807" w:rsidR="00E17E85" w:rsidRPr="00485691" w:rsidRDefault="00E17E85" w:rsidP="00E17E85">
    <w:pPr>
      <w:pStyle w:val="Fuzeile"/>
      <w:tabs>
        <w:tab w:val="clear" w:pos="8640"/>
        <w:tab w:val="right" w:pos="9632"/>
      </w:tabs>
      <w:spacing w:after="0" w:line="240" w:lineRule="auto"/>
      <w:rPr>
        <w:rFonts w:asciiTheme="majorHAnsi" w:hAnsiTheme="majorHAnsi" w:cstheme="majorHAnsi"/>
      </w:rPr>
    </w:pPr>
    <w:r w:rsidRPr="00485691">
      <w:rPr>
        <w:rFonts w:asciiTheme="majorHAnsi" w:hAnsiTheme="majorHAnsi" w:cstheme="majorHAnsi"/>
      </w:rPr>
      <w:fldChar w:fldCharType="begin"/>
    </w:r>
    <w:r w:rsidRPr="00485691">
      <w:rPr>
        <w:rFonts w:asciiTheme="majorHAnsi" w:hAnsiTheme="majorHAnsi" w:cstheme="majorHAnsi"/>
      </w:rPr>
      <w:instrText xml:space="preserve"> FILENAME \* MERGEFORMAT </w:instrText>
    </w:r>
    <w:r w:rsidRPr="00485691">
      <w:rPr>
        <w:rFonts w:asciiTheme="majorHAnsi" w:hAnsiTheme="majorHAnsi" w:cstheme="majorHAnsi"/>
      </w:rPr>
      <w:fldChar w:fldCharType="separate"/>
    </w:r>
    <w:r>
      <w:rPr>
        <w:rFonts w:asciiTheme="majorHAnsi" w:hAnsiTheme="majorHAnsi" w:cstheme="majorHAnsi"/>
        <w:noProof/>
      </w:rPr>
      <w:t>AEM Checkliste / Prozessablauf bei Datenschutzverletzungen Vorlage</w:t>
    </w:r>
    <w:r w:rsidRPr="00485691">
      <w:rPr>
        <w:rFonts w:asciiTheme="majorHAnsi" w:hAnsiTheme="majorHAnsi" w:cstheme="majorHAnsi"/>
      </w:rPr>
      <w:fldChar w:fldCharType="end"/>
    </w:r>
    <w:r w:rsidRPr="00485691">
      <w:rPr>
        <w:rFonts w:asciiTheme="majorHAnsi" w:hAnsiTheme="majorHAnsi" w:cstheme="majorHAnsi"/>
      </w:rPr>
      <w:tab/>
      <w:t xml:space="preserve">Seite </w:t>
    </w:r>
    <w:r w:rsidRPr="00485691">
      <w:rPr>
        <w:rFonts w:asciiTheme="majorHAnsi" w:hAnsiTheme="majorHAnsi" w:cstheme="majorHAnsi"/>
      </w:rPr>
      <w:fldChar w:fldCharType="begin"/>
    </w:r>
    <w:r w:rsidRPr="00485691">
      <w:rPr>
        <w:rFonts w:asciiTheme="majorHAnsi" w:hAnsiTheme="majorHAnsi" w:cstheme="majorHAnsi"/>
      </w:rPr>
      <w:instrText xml:space="preserve"> PAGE   \* MERGEFORMAT </w:instrText>
    </w:r>
    <w:r w:rsidRPr="00485691">
      <w:rPr>
        <w:rFonts w:asciiTheme="majorHAnsi" w:hAnsiTheme="majorHAnsi" w:cstheme="majorHAnsi"/>
      </w:rPr>
      <w:fldChar w:fldCharType="separate"/>
    </w:r>
    <w:r>
      <w:rPr>
        <w:rFonts w:asciiTheme="majorHAnsi" w:hAnsiTheme="majorHAnsi" w:cstheme="majorHAnsi"/>
      </w:rPr>
      <w:t>2</w:t>
    </w:r>
    <w:r w:rsidRPr="00485691">
      <w:rPr>
        <w:rFonts w:asciiTheme="majorHAnsi" w:hAnsiTheme="majorHAnsi" w:cstheme="majorHAnsi"/>
      </w:rPr>
      <w:fldChar w:fldCharType="end"/>
    </w:r>
    <w:r w:rsidRPr="00485691">
      <w:rPr>
        <w:rFonts w:asciiTheme="majorHAnsi" w:hAnsiTheme="majorHAnsi" w:cstheme="majorHAnsi"/>
      </w:rPr>
      <w:t xml:space="preserve"> von </w:t>
    </w:r>
    <w:r w:rsidRPr="00485691">
      <w:rPr>
        <w:rFonts w:asciiTheme="majorHAnsi" w:hAnsiTheme="majorHAnsi" w:cstheme="majorHAnsi"/>
      </w:rPr>
      <w:fldChar w:fldCharType="begin"/>
    </w:r>
    <w:r w:rsidRPr="00485691">
      <w:rPr>
        <w:rFonts w:asciiTheme="majorHAnsi" w:hAnsiTheme="majorHAnsi" w:cstheme="majorHAnsi"/>
      </w:rPr>
      <w:instrText xml:space="preserve"> NUMPAGES   \* MERGEFORMAT </w:instrText>
    </w:r>
    <w:r w:rsidRPr="00485691">
      <w:rPr>
        <w:rFonts w:asciiTheme="majorHAnsi" w:hAnsiTheme="majorHAnsi" w:cstheme="majorHAnsi"/>
      </w:rPr>
      <w:fldChar w:fldCharType="separate"/>
    </w:r>
    <w:r>
      <w:rPr>
        <w:rFonts w:asciiTheme="majorHAnsi" w:hAnsiTheme="majorHAnsi" w:cstheme="majorHAnsi"/>
      </w:rPr>
      <w:t>5</w:t>
    </w:r>
    <w:r w:rsidRPr="00485691">
      <w:rPr>
        <w:rFonts w:asciiTheme="majorHAnsi" w:hAnsiTheme="majorHAnsi" w:cstheme="majorHAnsi"/>
      </w:rPr>
      <w:fldChar w:fldCharType="end"/>
    </w:r>
  </w:p>
  <w:p w14:paraId="519FAE2E" w14:textId="38FCB509" w:rsidR="00E17E85" w:rsidRPr="00E17E85" w:rsidRDefault="0011674D" w:rsidP="00E17E85">
    <w:pPr>
      <w:pStyle w:val="Fuzeile"/>
      <w:spacing w:after="0" w:line="240" w:lineRule="auto"/>
      <w:rPr>
        <w:rFonts w:asciiTheme="majorHAnsi" w:hAnsiTheme="majorHAnsi" w:cstheme="majorHAnsi"/>
      </w:rPr>
    </w:pPr>
    <w:r>
      <w:rPr>
        <w:rFonts w:asciiTheme="majorHAnsi" w:hAnsiTheme="majorHAnsi" w:cstheme="majorHAnsi"/>
      </w:rPr>
      <w:t>30</w:t>
    </w:r>
    <w:r w:rsidR="00920020">
      <w:rPr>
        <w:rFonts w:asciiTheme="majorHAnsi" w:hAnsiTheme="majorHAnsi" w:cstheme="majorHAnsi"/>
      </w:rPr>
      <w:t>.05.</w:t>
    </w:r>
    <w:r w:rsidR="00E17E85" w:rsidRPr="00485691">
      <w:rPr>
        <w:rFonts w:asciiTheme="majorHAnsi" w:hAnsiTheme="majorHAnsi" w:cstheme="majorHAnsi"/>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E344" w14:textId="77777777" w:rsidR="005F0F50" w:rsidRDefault="0011674D" w:rsidP="005F0F50">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D93A" w14:textId="77777777" w:rsidR="00545819" w:rsidRDefault="00545819" w:rsidP="00966092">
      <w:pPr>
        <w:spacing w:after="0" w:line="240" w:lineRule="auto"/>
      </w:pPr>
      <w:r>
        <w:separator/>
      </w:r>
    </w:p>
  </w:footnote>
  <w:footnote w:type="continuationSeparator" w:id="0">
    <w:p w14:paraId="00739EF0" w14:textId="77777777" w:rsidR="00545819" w:rsidRDefault="00545819" w:rsidP="00966092">
      <w:pPr>
        <w:spacing w:after="0" w:line="240" w:lineRule="auto"/>
      </w:pPr>
      <w:r>
        <w:continuationSeparator/>
      </w:r>
    </w:p>
  </w:footnote>
  <w:footnote w:id="1">
    <w:p w14:paraId="6C76805E" w14:textId="77777777" w:rsidR="00966092" w:rsidRPr="00415D35" w:rsidRDefault="00966092" w:rsidP="00966092">
      <w:pPr>
        <w:pStyle w:val="Funotentext"/>
        <w:rPr>
          <w:rFonts w:ascii="Calibri" w:hAnsi="Calibri" w:cs="Calibri"/>
          <w:szCs w:val="16"/>
        </w:rPr>
      </w:pPr>
      <w:r w:rsidRPr="00415D35">
        <w:rPr>
          <w:rStyle w:val="Funotenzeichen"/>
          <w:rFonts w:ascii="Calibri" w:hAnsi="Calibri" w:cs="Calibri"/>
          <w:color w:val="000000" w:themeColor="text1"/>
          <w:szCs w:val="16"/>
        </w:rPr>
        <w:footnoteRef/>
      </w:r>
      <w:r w:rsidRPr="00415D35">
        <w:rPr>
          <w:rFonts w:ascii="Calibri" w:hAnsi="Calibri" w:cs="Calibri"/>
          <w:color w:val="000000" w:themeColor="text1"/>
          <w:szCs w:val="16"/>
        </w:rPr>
        <w:t xml:space="preserve"> </w:t>
      </w:r>
      <w:hyperlink r:id="rId1" w:history="1">
        <w:r w:rsidRPr="00415D35">
          <w:rPr>
            <w:rStyle w:val="Hyperlink"/>
            <w:rFonts w:ascii="Calibri" w:hAnsi="Calibri" w:cs="Calibri"/>
            <w:color w:val="000000" w:themeColor="text1"/>
            <w:szCs w:val="16"/>
            <w:u w:val="single"/>
          </w:rPr>
          <w:t>https://www.edoeb.admin.ch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C02D" w14:textId="3A678621" w:rsidR="009879AF" w:rsidRDefault="009879AF">
    <w:pPr>
      <w:pStyle w:val="Kopfzeile"/>
    </w:pPr>
    <w:r>
      <w:tab/>
    </w:r>
    <w:r>
      <w:tab/>
      <w:t>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6006" w14:textId="7F7C5C83" w:rsidR="00B1133F" w:rsidRDefault="00E17E85">
    <w:pPr>
      <w:pStyle w:val="Kopfzeile"/>
      <w:tabs>
        <w:tab w:val="clear" w:pos="4320"/>
        <w:tab w:val="clear" w:pos="8640"/>
        <w:tab w:val="left" w:pos="8681"/>
      </w:tabs>
    </w:pPr>
    <w:r>
      <w:tab/>
      <w:t>LOGO</w:t>
    </w:r>
    <w:r w:rsidR="0090562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796D"/>
    <w:multiLevelType w:val="hybridMultilevel"/>
    <w:tmpl w:val="79A2D122"/>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6864F6"/>
    <w:multiLevelType w:val="hybridMultilevel"/>
    <w:tmpl w:val="C8001E84"/>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DC6A24"/>
    <w:multiLevelType w:val="hybridMultilevel"/>
    <w:tmpl w:val="8C82D10E"/>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CEE6A26"/>
    <w:multiLevelType w:val="hybridMultilevel"/>
    <w:tmpl w:val="720CD9F4"/>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6D5E58"/>
    <w:multiLevelType w:val="hybridMultilevel"/>
    <w:tmpl w:val="9F4CC0A4"/>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23181C"/>
    <w:multiLevelType w:val="hybridMultilevel"/>
    <w:tmpl w:val="DFEE4AEE"/>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C0602D"/>
    <w:multiLevelType w:val="hybridMultilevel"/>
    <w:tmpl w:val="92B6B956"/>
    <w:lvl w:ilvl="0" w:tplc="78DAB8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abstractNum w:abstractNumId="9" w15:restartNumberingAfterBreak="0">
    <w:nsid w:val="76B30851"/>
    <w:multiLevelType w:val="hybridMultilevel"/>
    <w:tmpl w:val="9C669B5C"/>
    <w:lvl w:ilvl="0" w:tplc="FFFFFFFF">
      <w:start w:val="10"/>
      <w:numFmt w:val="bullet"/>
      <w:lvlText w:val="-"/>
      <w:lvlJc w:val="left"/>
      <w:pPr>
        <w:ind w:left="720" w:hanging="360"/>
      </w:pPr>
      <w:rPr>
        <w:rFonts w:ascii="Calibri" w:eastAsia="Arial Unicode MS" w:hAnsi="Calibri" w:cs="Calibri" w:hint="default"/>
      </w:rPr>
    </w:lvl>
    <w:lvl w:ilvl="1" w:tplc="78DAB8A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280772">
    <w:abstractNumId w:val="8"/>
  </w:num>
  <w:num w:numId="2" w16cid:durableId="1013800097">
    <w:abstractNumId w:val="9"/>
  </w:num>
  <w:num w:numId="3" w16cid:durableId="82269050">
    <w:abstractNumId w:val="7"/>
  </w:num>
  <w:num w:numId="4" w16cid:durableId="1429692392">
    <w:abstractNumId w:val="1"/>
  </w:num>
  <w:num w:numId="5" w16cid:durableId="834613907">
    <w:abstractNumId w:val="0"/>
  </w:num>
  <w:num w:numId="6" w16cid:durableId="526018321">
    <w:abstractNumId w:val="2"/>
  </w:num>
  <w:num w:numId="7" w16cid:durableId="1487209129">
    <w:abstractNumId w:val="5"/>
  </w:num>
  <w:num w:numId="8" w16cid:durableId="1366759945">
    <w:abstractNumId w:val="4"/>
  </w:num>
  <w:num w:numId="9" w16cid:durableId="546533">
    <w:abstractNumId w:val="6"/>
  </w:num>
  <w:num w:numId="10" w16cid:durableId="172093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92"/>
    <w:rsid w:val="00030ADE"/>
    <w:rsid w:val="00071600"/>
    <w:rsid w:val="00094716"/>
    <w:rsid w:val="000B3AE4"/>
    <w:rsid w:val="0011006A"/>
    <w:rsid w:val="0011674D"/>
    <w:rsid w:val="00161594"/>
    <w:rsid w:val="002277F5"/>
    <w:rsid w:val="00251EE4"/>
    <w:rsid w:val="00415D35"/>
    <w:rsid w:val="004851D5"/>
    <w:rsid w:val="00545819"/>
    <w:rsid w:val="00646842"/>
    <w:rsid w:val="00670A74"/>
    <w:rsid w:val="00707131"/>
    <w:rsid w:val="0090562E"/>
    <w:rsid w:val="00920020"/>
    <w:rsid w:val="009605F3"/>
    <w:rsid w:val="00966092"/>
    <w:rsid w:val="009879AF"/>
    <w:rsid w:val="00AA3146"/>
    <w:rsid w:val="00AC1F99"/>
    <w:rsid w:val="00B166E4"/>
    <w:rsid w:val="00B244D7"/>
    <w:rsid w:val="00B93937"/>
    <w:rsid w:val="00C04284"/>
    <w:rsid w:val="00C34388"/>
    <w:rsid w:val="00CE1173"/>
    <w:rsid w:val="00E17E85"/>
    <w:rsid w:val="00EC792B"/>
    <w:rsid w:val="00EF2DEF"/>
    <w:rsid w:val="00F22092"/>
    <w:rsid w:val="00FB644F"/>
    <w:rsid w:val="00FE05A7"/>
    <w:rsid w:val="34F1B3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8F1C"/>
  <w15:chartTrackingRefBased/>
  <w15:docId w15:val="{85050D47-456F-4D13-BE63-82CD769F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6092"/>
    <w:pPr>
      <w:spacing w:after="120" w:line="312" w:lineRule="auto"/>
      <w:jc w:val="both"/>
    </w:pPr>
    <w:rPr>
      <w:rFonts w:ascii="Helvetica Neue" w:eastAsia="Times New Roman" w:hAnsi="Helvetica Neue" w:cs="Times New Roman"/>
      <w:color w:val="313130"/>
      <w:sz w:val="18"/>
      <w:szCs w:val="24"/>
    </w:rPr>
  </w:style>
  <w:style w:type="paragraph" w:styleId="berschrift2">
    <w:name w:val="heading 2"/>
    <w:basedOn w:val="Standard"/>
    <w:next w:val="Standard"/>
    <w:link w:val="berschrift2Zchn"/>
    <w:uiPriority w:val="9"/>
    <w:semiHidden/>
    <w:unhideWhenUsed/>
    <w:qFormat/>
    <w:rsid w:val="009660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966092"/>
    <w:pPr>
      <w:tabs>
        <w:tab w:val="right" w:pos="9632"/>
      </w:tabs>
      <w:spacing w:before="120" w:after="0" w:line="240" w:lineRule="auto"/>
      <w:jc w:val="center"/>
    </w:pPr>
    <w:rPr>
      <w:rFonts w:ascii="Helvetica Neue" w:eastAsia="Arial Unicode MS" w:hAnsi="Helvetica Neue" w:cs="Times New Roman"/>
      <w:color w:val="7F7F7F" w:themeColor="text1" w:themeTint="80"/>
      <w:sz w:val="17"/>
      <w:szCs w:val="20"/>
    </w:rPr>
  </w:style>
  <w:style w:type="paragraph" w:styleId="Kopfzeile">
    <w:name w:val="header"/>
    <w:basedOn w:val="Standard"/>
    <w:link w:val="KopfzeileZchn"/>
    <w:semiHidden/>
    <w:rsid w:val="00966092"/>
    <w:pPr>
      <w:tabs>
        <w:tab w:val="center" w:pos="4320"/>
        <w:tab w:val="right" w:pos="8640"/>
      </w:tabs>
    </w:pPr>
  </w:style>
  <w:style w:type="character" w:customStyle="1" w:styleId="KopfzeileZchn">
    <w:name w:val="Kopfzeile Zchn"/>
    <w:basedOn w:val="Absatz-Standardschriftart"/>
    <w:link w:val="Kopfzeile"/>
    <w:semiHidden/>
    <w:rsid w:val="00966092"/>
    <w:rPr>
      <w:rFonts w:ascii="Helvetica Neue" w:eastAsia="Times New Roman" w:hAnsi="Helvetica Neue" w:cs="Times New Roman"/>
      <w:color w:val="313130"/>
      <w:sz w:val="18"/>
      <w:szCs w:val="24"/>
      <w:lang w:val="de-CH"/>
    </w:rPr>
  </w:style>
  <w:style w:type="paragraph" w:styleId="Fuzeile">
    <w:name w:val="footer"/>
    <w:basedOn w:val="Standard"/>
    <w:link w:val="FuzeileZchn"/>
    <w:uiPriority w:val="99"/>
    <w:rsid w:val="00966092"/>
    <w:pPr>
      <w:tabs>
        <w:tab w:val="center" w:pos="4320"/>
        <w:tab w:val="right" w:pos="8640"/>
      </w:tabs>
    </w:pPr>
  </w:style>
  <w:style w:type="character" w:customStyle="1" w:styleId="FuzeileZchn">
    <w:name w:val="Fußzeile Zchn"/>
    <w:basedOn w:val="Absatz-Standardschriftart"/>
    <w:link w:val="Fuzeile"/>
    <w:uiPriority w:val="99"/>
    <w:rsid w:val="00966092"/>
    <w:rPr>
      <w:rFonts w:ascii="Helvetica Neue" w:eastAsia="Times New Roman" w:hAnsi="Helvetica Neue" w:cs="Times New Roman"/>
      <w:color w:val="313130"/>
      <w:sz w:val="18"/>
      <w:szCs w:val="24"/>
      <w:lang w:val="de-CH"/>
    </w:rPr>
  </w:style>
  <w:style w:type="character" w:styleId="Hyperlink">
    <w:name w:val="Hyperlink"/>
    <w:basedOn w:val="Absatz-Standardschriftart"/>
    <w:uiPriority w:val="99"/>
    <w:rsid w:val="00966092"/>
    <w:rPr>
      <w:color w:val="B31218"/>
      <w:u w:val="none"/>
      <w:lang w:val="de-CH"/>
    </w:rPr>
  </w:style>
  <w:style w:type="table" w:styleId="Tabellenraster">
    <w:name w:val="Table Grid"/>
    <w:basedOn w:val="NormaleTabelle"/>
    <w:uiPriority w:val="39"/>
    <w:rsid w:val="0096609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
    <w:name w:val="List"/>
    <w:basedOn w:val="Standard"/>
    <w:rsid w:val="00966092"/>
    <w:pPr>
      <w:numPr>
        <w:numId w:val="1"/>
      </w:numPr>
      <w:ind w:left="284" w:hanging="284"/>
      <w:contextualSpacing/>
      <w:jc w:val="left"/>
    </w:pPr>
    <w:rPr>
      <w:rFonts w:eastAsia="Arial Unicode MS"/>
      <w:szCs w:val="20"/>
    </w:rPr>
  </w:style>
  <w:style w:type="paragraph" w:styleId="Funotentext">
    <w:name w:val="footnote text"/>
    <w:basedOn w:val="Standard"/>
    <w:link w:val="FunotentextZchn"/>
    <w:rsid w:val="00966092"/>
    <w:pPr>
      <w:ind w:left="284" w:hanging="284"/>
      <w:jc w:val="left"/>
    </w:pPr>
    <w:rPr>
      <w:rFonts w:eastAsia="Arial Unicode MS"/>
      <w:sz w:val="16"/>
      <w:szCs w:val="20"/>
    </w:rPr>
  </w:style>
  <w:style w:type="character" w:customStyle="1" w:styleId="FunotentextZchn">
    <w:name w:val="Fußnotentext Zchn"/>
    <w:basedOn w:val="Absatz-Standardschriftart"/>
    <w:link w:val="Funotentext"/>
    <w:rsid w:val="00966092"/>
    <w:rPr>
      <w:rFonts w:ascii="Helvetica Neue" w:eastAsia="Arial Unicode MS" w:hAnsi="Helvetica Neue" w:cs="Times New Roman"/>
      <w:color w:val="313130"/>
      <w:sz w:val="16"/>
      <w:szCs w:val="20"/>
      <w:lang w:val="de-CH"/>
    </w:rPr>
  </w:style>
  <w:style w:type="character" w:styleId="Funotenzeichen">
    <w:name w:val="footnote reference"/>
    <w:basedOn w:val="Absatz-Standardschriftart"/>
    <w:rsid w:val="00966092"/>
    <w:rPr>
      <w:vertAlign w:val="superscript"/>
    </w:rPr>
  </w:style>
  <w:style w:type="paragraph" w:styleId="Listenabsatz">
    <w:name w:val="List Paragraph"/>
    <w:basedOn w:val="Liste"/>
    <w:uiPriority w:val="34"/>
    <w:qFormat/>
    <w:rsid w:val="00966092"/>
    <w:pPr>
      <w:ind w:left="360" w:hanging="360"/>
    </w:pPr>
  </w:style>
  <w:style w:type="paragraph" w:customStyle="1" w:styleId="Style1">
    <w:name w:val="Style1"/>
    <w:basedOn w:val="berschrift2"/>
    <w:qFormat/>
    <w:rsid w:val="00966092"/>
    <w:pPr>
      <w:spacing w:before="0" w:after="100"/>
      <w:ind w:left="442" w:hanging="442"/>
      <w:jc w:val="left"/>
    </w:pPr>
    <w:rPr>
      <w:rFonts w:ascii="Helvetica Neue" w:eastAsia="Arial Unicode MS" w:hAnsi="Helvetica Neue" w:cs="Times New Roman"/>
      <w:b/>
      <w:bCs/>
      <w:color w:val="313130"/>
      <w:sz w:val="20"/>
      <w:szCs w:val="20"/>
    </w:rPr>
  </w:style>
  <w:style w:type="paragraph" w:customStyle="1" w:styleId="paragraph">
    <w:name w:val="paragraph"/>
    <w:basedOn w:val="Standard"/>
    <w:rsid w:val="00966092"/>
    <w:pPr>
      <w:spacing w:before="100" w:beforeAutospacing="1" w:after="100" w:afterAutospacing="1" w:line="240" w:lineRule="auto"/>
      <w:jc w:val="left"/>
    </w:pPr>
    <w:rPr>
      <w:rFonts w:ascii="Times New Roman" w:hAnsi="Times New Roman"/>
      <w:color w:val="auto"/>
      <w:sz w:val="24"/>
      <w:lang w:eastAsia="de-CH"/>
    </w:rPr>
  </w:style>
  <w:style w:type="character" w:customStyle="1" w:styleId="eop">
    <w:name w:val="eop"/>
    <w:basedOn w:val="Absatz-Standardschriftart"/>
    <w:rsid w:val="00966092"/>
  </w:style>
  <w:style w:type="character" w:customStyle="1" w:styleId="berschrift2Zchn">
    <w:name w:val="Überschrift 2 Zchn"/>
    <w:basedOn w:val="Absatz-Standardschriftart"/>
    <w:link w:val="berschrift2"/>
    <w:uiPriority w:val="9"/>
    <w:semiHidden/>
    <w:rsid w:val="00966092"/>
    <w:rPr>
      <w:rFonts w:asciiTheme="majorHAnsi" w:eastAsiaTheme="majorEastAsia" w:hAnsiTheme="majorHAnsi" w:cstheme="majorBidi"/>
      <w:color w:val="2F5496" w:themeColor="accent1" w:themeShade="BF"/>
      <w:sz w:val="26"/>
      <w:szCs w:val="26"/>
      <w:lang w:val="de-CH"/>
    </w:rPr>
  </w:style>
  <w:style w:type="character" w:styleId="Kommentarzeichen">
    <w:name w:val="annotation reference"/>
    <w:basedOn w:val="Absatz-Standardschriftart"/>
    <w:uiPriority w:val="99"/>
    <w:semiHidden/>
    <w:unhideWhenUsed/>
    <w:rsid w:val="00CE1173"/>
    <w:rPr>
      <w:sz w:val="16"/>
      <w:szCs w:val="16"/>
    </w:rPr>
  </w:style>
  <w:style w:type="paragraph" w:styleId="Kommentartext">
    <w:name w:val="annotation text"/>
    <w:basedOn w:val="Standard"/>
    <w:link w:val="KommentartextZchn"/>
    <w:uiPriority w:val="99"/>
    <w:unhideWhenUsed/>
    <w:rsid w:val="00CE1173"/>
    <w:pPr>
      <w:spacing w:line="240" w:lineRule="auto"/>
    </w:pPr>
    <w:rPr>
      <w:sz w:val="20"/>
      <w:szCs w:val="20"/>
    </w:rPr>
  </w:style>
  <w:style w:type="character" w:customStyle="1" w:styleId="KommentartextZchn">
    <w:name w:val="Kommentartext Zchn"/>
    <w:basedOn w:val="Absatz-Standardschriftart"/>
    <w:link w:val="Kommentartext"/>
    <w:uiPriority w:val="99"/>
    <w:rsid w:val="00CE1173"/>
    <w:rPr>
      <w:rFonts w:ascii="Helvetica Neue" w:eastAsia="Times New Roman" w:hAnsi="Helvetica Neue" w:cs="Times New Roman"/>
      <w:color w:val="313130"/>
      <w:sz w:val="20"/>
      <w:szCs w:val="20"/>
      <w:lang w:val="de-CH"/>
    </w:rPr>
  </w:style>
  <w:style w:type="paragraph" w:styleId="Kommentarthema">
    <w:name w:val="annotation subject"/>
    <w:basedOn w:val="Kommentartext"/>
    <w:next w:val="Kommentartext"/>
    <w:link w:val="KommentarthemaZchn"/>
    <w:uiPriority w:val="99"/>
    <w:semiHidden/>
    <w:unhideWhenUsed/>
    <w:rsid w:val="00CE1173"/>
    <w:rPr>
      <w:b/>
      <w:bCs/>
    </w:rPr>
  </w:style>
  <w:style w:type="character" w:customStyle="1" w:styleId="KommentarthemaZchn">
    <w:name w:val="Kommentarthema Zchn"/>
    <w:basedOn w:val="KommentartextZchn"/>
    <w:link w:val="Kommentarthema"/>
    <w:uiPriority w:val="99"/>
    <w:semiHidden/>
    <w:rsid w:val="00CE1173"/>
    <w:rPr>
      <w:rFonts w:ascii="Helvetica Neue" w:eastAsia="Times New Roman" w:hAnsi="Helvetica Neue" w:cs="Times New Roman"/>
      <w:b/>
      <w:bCs/>
      <w:color w:val="313130"/>
      <w:sz w:val="20"/>
      <w:szCs w:val="20"/>
      <w:lang w:val="de-CH"/>
    </w:rPr>
  </w:style>
  <w:style w:type="paragraph" w:styleId="Sprechblasentext">
    <w:name w:val="Balloon Text"/>
    <w:basedOn w:val="Standard"/>
    <w:link w:val="SprechblasentextZchn"/>
    <w:uiPriority w:val="99"/>
    <w:semiHidden/>
    <w:unhideWhenUsed/>
    <w:rsid w:val="00CE1173"/>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CE1173"/>
    <w:rPr>
      <w:rFonts w:ascii="Segoe UI" w:eastAsia="Times New Roman" w:hAnsi="Segoe UI" w:cs="Segoe UI"/>
      <w:color w:val="313130"/>
      <w:sz w:val="18"/>
      <w:szCs w:val="18"/>
      <w:lang w:val="de-CH"/>
    </w:rPr>
  </w:style>
  <w:style w:type="paragraph" w:styleId="berarbeitung">
    <w:name w:val="Revision"/>
    <w:hidden/>
    <w:uiPriority w:val="99"/>
    <w:semiHidden/>
    <w:rsid w:val="00251EE4"/>
    <w:pPr>
      <w:spacing w:after="0" w:line="240" w:lineRule="auto"/>
    </w:pPr>
    <w:rPr>
      <w:rFonts w:ascii="Helvetica Neue" w:eastAsia="Times New Roman" w:hAnsi="Helvetica Neue" w:cs="Times New Roman"/>
      <w:color w:val="31313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e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at.leuthold@ae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orena.marti@ae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edoeb/de/hom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C6333-9E0E-428C-9DA9-A9B9EAB1CE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5E6CC-C86D-4E5D-B789-B90302D9D260}">
  <ds:schemaRefs>
    <ds:schemaRef ds:uri="http://schemas.microsoft.com/sharepoint/v3/contenttype/forms"/>
  </ds:schemaRefs>
</ds:datastoreItem>
</file>

<file path=customXml/itemProps3.xml><?xml version="1.0" encoding="utf-8"?>
<ds:datastoreItem xmlns:ds="http://schemas.openxmlformats.org/officeDocument/2006/customXml" ds:itemID="{EC6EE90C-1A89-444E-BCCF-7AF824521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8995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Lorena Marti</cp:lastModifiedBy>
  <cp:revision>6</cp:revision>
  <dcterms:created xsi:type="dcterms:W3CDTF">2023-05-30T11:46:00Z</dcterms:created>
  <dcterms:modified xsi:type="dcterms:W3CDTF">2023-05-30T12:54:00Z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